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021D8" w14:textId="77777777" w:rsidR="000F069C" w:rsidRPr="00687F55" w:rsidRDefault="000F069C" w:rsidP="00687F55">
      <w:pPr>
        <w:pBdr>
          <w:bottom w:val="single" w:sz="4" w:space="1" w:color="auto"/>
        </w:pBdr>
        <w:rPr>
          <w:bCs/>
          <w:color w:val="46515B"/>
          <w:sz w:val="44"/>
          <w:szCs w:val="44"/>
        </w:rPr>
      </w:pPr>
      <w:r w:rsidRPr="000F069C">
        <w:rPr>
          <w:bCs/>
          <w:color w:val="46515B"/>
          <w:sz w:val="44"/>
          <w:szCs w:val="44"/>
        </w:rPr>
        <w:t xml:space="preserve">Animal Health Australia </w:t>
      </w:r>
      <w:r w:rsidRPr="000F069C">
        <w:rPr>
          <w:bCs/>
          <w:i/>
          <w:iCs/>
          <w:color w:val="46515B"/>
          <w:sz w:val="44"/>
          <w:szCs w:val="44"/>
        </w:rPr>
        <w:t>Strategic Plan 2020-25</w:t>
      </w:r>
    </w:p>
    <w:p w14:paraId="31EF2D84" w14:textId="77777777" w:rsidR="00AF4EC4" w:rsidRPr="00616A5E" w:rsidRDefault="007C698E" w:rsidP="00AF4EC4">
      <w:pPr>
        <w:rPr>
          <w:b/>
          <w:color w:val="46515B"/>
          <w:sz w:val="28"/>
          <w:szCs w:val="28"/>
        </w:rPr>
      </w:pPr>
      <w:r w:rsidRPr="00616A5E">
        <w:rPr>
          <w:b/>
          <w:color w:val="46515B"/>
          <w:sz w:val="28"/>
          <w:szCs w:val="28"/>
        </w:rPr>
        <w:t>OUR ROLE</w:t>
      </w:r>
    </w:p>
    <w:p w14:paraId="3FB1F6D2" w14:textId="056E2FF8" w:rsidR="006D6DEE" w:rsidRPr="00A2490D" w:rsidRDefault="006D6DEE" w:rsidP="006D6DEE">
      <w:pPr>
        <w:rPr>
          <w:b/>
          <w:sz w:val="24"/>
        </w:rPr>
      </w:pPr>
      <w:r w:rsidRPr="00335601">
        <w:t>Animal Health Australia (AHA) was founded</w:t>
      </w:r>
      <w:r w:rsidR="00EA5145">
        <w:t xml:space="preserve"> as </w:t>
      </w:r>
      <w:r w:rsidR="00CA5E91">
        <w:t>the go to organisation</w:t>
      </w:r>
      <w:r w:rsidRPr="00335601">
        <w:t xml:space="preserve"> </w:t>
      </w:r>
      <w:r w:rsidR="0019460F">
        <w:t xml:space="preserve">for </w:t>
      </w:r>
      <w:r w:rsidRPr="00335601">
        <w:t>animal health</w:t>
      </w:r>
      <w:r w:rsidR="005F3D56">
        <w:t xml:space="preserve"> and biosecurity</w:t>
      </w:r>
      <w:r w:rsidRPr="00335601">
        <w:t xml:space="preserve"> policy, strategy and national programs</w:t>
      </w:r>
      <w:r w:rsidR="005F3D56">
        <w:t xml:space="preserve"> - </w:t>
      </w:r>
      <w:r w:rsidRPr="00335601">
        <w:t xml:space="preserve">the </w:t>
      </w:r>
      <w:r w:rsidR="00B308C9">
        <w:t xml:space="preserve">trusted and independent </w:t>
      </w:r>
      <w:r w:rsidRPr="00335601">
        <w:t>animal health body in Australia</w:t>
      </w:r>
      <w:r w:rsidR="00692F2B">
        <w:t>, bringing together governments and industry</w:t>
      </w:r>
      <w:r w:rsidRPr="00335601">
        <w:t xml:space="preserve">. </w:t>
      </w:r>
    </w:p>
    <w:p w14:paraId="2956B646" w14:textId="77777777" w:rsidR="00C82A13" w:rsidRDefault="0019460F" w:rsidP="003A34A8">
      <w:r>
        <w:t xml:space="preserve">Our </w:t>
      </w:r>
      <w:r w:rsidR="003F208B">
        <w:t xml:space="preserve">role is fundamental to the long term agricultural, economic, biosecurity and animal health outcomes of Australia. </w:t>
      </w:r>
      <w:r>
        <w:t xml:space="preserve">We assess the </w:t>
      </w:r>
      <w:r w:rsidR="003F208B">
        <w:t xml:space="preserve">system as a whole as we look across sectors to prioritise </w:t>
      </w:r>
      <w:r w:rsidR="00CA5E91">
        <w:t xml:space="preserve">actions and investments </w:t>
      </w:r>
      <w:r w:rsidR="003F208B">
        <w:t xml:space="preserve">that will be impactful. </w:t>
      </w:r>
    </w:p>
    <w:p w14:paraId="7E9B690D" w14:textId="24866984" w:rsidR="00043226" w:rsidRPr="000F069C" w:rsidRDefault="00BB4764" w:rsidP="003A34A8">
      <w:pPr>
        <w:rPr>
          <w:b/>
          <w:sz w:val="24"/>
        </w:rPr>
      </w:pPr>
      <w:r>
        <w:t>We are</w:t>
      </w:r>
      <w:r w:rsidR="00043226">
        <w:t xml:space="preserve"> future facing, scan the horizon for threats and opportunities, </w:t>
      </w:r>
      <w:r w:rsidR="00692F2B">
        <w:t xml:space="preserve">engage </w:t>
      </w:r>
      <w:r w:rsidR="00043226">
        <w:t>with our stakeholders</w:t>
      </w:r>
      <w:r w:rsidR="005F3D56">
        <w:t>,</w:t>
      </w:r>
      <w:r>
        <w:t xml:space="preserve"> </w:t>
      </w:r>
      <w:r w:rsidR="00043226">
        <w:t>advocat</w:t>
      </w:r>
      <w:r w:rsidR="00692F2B">
        <w:t>e</w:t>
      </w:r>
      <w:r w:rsidR="00043226">
        <w:t xml:space="preserve"> </w:t>
      </w:r>
      <w:r w:rsidR="005F3D56">
        <w:t>for and driv</w:t>
      </w:r>
      <w:r w:rsidR="00692F2B">
        <w:t>e</w:t>
      </w:r>
      <w:r w:rsidR="005F3D56">
        <w:t xml:space="preserve"> </w:t>
      </w:r>
      <w:r w:rsidR="00043226">
        <w:t>improvements</w:t>
      </w:r>
      <w:r w:rsidR="00B308C9">
        <w:t xml:space="preserve"> and focus on solutions</w:t>
      </w:r>
      <w:r w:rsidR="0019460F">
        <w:t>.</w:t>
      </w:r>
    </w:p>
    <w:p w14:paraId="0D1F3CC5" w14:textId="77777777" w:rsidR="00EE56F7" w:rsidRPr="00616A5E" w:rsidRDefault="000F069C" w:rsidP="00EE56F7">
      <w:pPr>
        <w:rPr>
          <w:b/>
          <w:color w:val="46515B"/>
          <w:sz w:val="28"/>
          <w:szCs w:val="28"/>
        </w:rPr>
      </w:pPr>
      <w:r w:rsidRPr="00616A5E">
        <w:rPr>
          <w:b/>
          <w:color w:val="46515B"/>
          <w:sz w:val="28"/>
          <w:szCs w:val="28"/>
        </w:rPr>
        <w:t>OUR VISION</w:t>
      </w:r>
    </w:p>
    <w:p w14:paraId="026B17C7" w14:textId="77777777" w:rsidR="00EE56F7" w:rsidRDefault="002570DB" w:rsidP="00EE56F7">
      <w:r>
        <w:t>A</w:t>
      </w:r>
      <w:r w:rsidR="00EE56F7">
        <w:t xml:space="preserve"> national</w:t>
      </w:r>
      <w:r w:rsidR="00EE56F7" w:rsidRPr="00335601">
        <w:t xml:space="preserve"> biosecurity system </w:t>
      </w:r>
      <w:r>
        <w:t>that provides</w:t>
      </w:r>
      <w:r w:rsidR="00EE56F7" w:rsidRPr="00335601">
        <w:t xml:space="preserve"> every opportunity for Australian agriculture to succeed at home and overseas.</w:t>
      </w:r>
    </w:p>
    <w:p w14:paraId="617BE856" w14:textId="77777777" w:rsidR="00056CC0" w:rsidRPr="008D0137" w:rsidRDefault="00056CC0" w:rsidP="00056CC0">
      <w:pPr>
        <w:rPr>
          <w:b/>
          <w:color w:val="46515B"/>
          <w:sz w:val="28"/>
          <w:szCs w:val="28"/>
        </w:rPr>
      </w:pPr>
      <w:r w:rsidRPr="008D0137">
        <w:rPr>
          <w:b/>
          <w:color w:val="46515B"/>
          <w:sz w:val="28"/>
          <w:szCs w:val="28"/>
        </w:rPr>
        <w:t>OUR MISSION</w:t>
      </w:r>
    </w:p>
    <w:p w14:paraId="698D0A2D" w14:textId="49466FD0" w:rsidR="00056CC0" w:rsidRDefault="00056CC0" w:rsidP="00EE56F7">
      <w:r>
        <w:t>R</w:t>
      </w:r>
      <w:r w:rsidRPr="00335601">
        <w:t xml:space="preserve">ecognised as </w:t>
      </w:r>
      <w:r w:rsidR="00692F2B">
        <w:t xml:space="preserve">the </w:t>
      </w:r>
      <w:r w:rsidRPr="00335601">
        <w:t xml:space="preserve">independent and trusted advocate for animal health and biosecurity, informing </w:t>
      </w:r>
      <w:r>
        <w:t xml:space="preserve">industry </w:t>
      </w:r>
      <w:r w:rsidRPr="00335601">
        <w:t>and government</w:t>
      </w:r>
      <w:r>
        <w:t xml:space="preserve"> about </w:t>
      </w:r>
      <w:r w:rsidRPr="00335601">
        <w:t xml:space="preserve">national action </w:t>
      </w:r>
      <w:r>
        <w:t xml:space="preserve">required, </w:t>
      </w:r>
      <w:r w:rsidR="00E16E30">
        <w:t xml:space="preserve">and </w:t>
      </w:r>
      <w:r>
        <w:t xml:space="preserve">delivering solutions together. </w:t>
      </w:r>
    </w:p>
    <w:p w14:paraId="62CC5682" w14:textId="77777777" w:rsidR="002D0713" w:rsidRDefault="002D0713" w:rsidP="00F35244">
      <w:pPr>
        <w:rPr>
          <w:b/>
          <w:color w:val="46515B"/>
          <w:sz w:val="28"/>
          <w:szCs w:val="28"/>
        </w:rPr>
      </w:pPr>
      <w:r>
        <w:rPr>
          <w:b/>
          <w:color w:val="46515B"/>
          <w:sz w:val="28"/>
          <w:szCs w:val="28"/>
        </w:rPr>
        <w:t>IN FIVE YEARS</w:t>
      </w:r>
    </w:p>
    <w:p w14:paraId="541FA439" w14:textId="77777777" w:rsidR="003A036D" w:rsidRDefault="003A036D" w:rsidP="00F35244">
      <w:r>
        <w:t>We will have:</w:t>
      </w:r>
    </w:p>
    <w:p w14:paraId="5CEC073B" w14:textId="601FCC06" w:rsidR="002D0713" w:rsidRPr="003A036D" w:rsidRDefault="00B94193" w:rsidP="00B94193">
      <w:pPr>
        <w:pStyle w:val="ListParagraph"/>
        <w:numPr>
          <w:ilvl w:val="0"/>
          <w:numId w:val="14"/>
        </w:numPr>
      </w:pPr>
      <w:r w:rsidRPr="003A036D">
        <w:t xml:space="preserve">more strongly linked emergency response </w:t>
      </w:r>
      <w:r>
        <w:t>systems</w:t>
      </w:r>
      <w:r w:rsidRPr="003A036D">
        <w:t xml:space="preserve"> </w:t>
      </w:r>
      <w:r>
        <w:t>in an ‘All Hazards’ approach</w:t>
      </w:r>
    </w:p>
    <w:p w14:paraId="65DE4B2E" w14:textId="5C2F380E" w:rsidR="002D0713" w:rsidRDefault="00692F2B" w:rsidP="003A036D">
      <w:pPr>
        <w:pStyle w:val="ListParagraph"/>
        <w:numPr>
          <w:ilvl w:val="0"/>
          <w:numId w:val="14"/>
        </w:numPr>
      </w:pPr>
      <w:r>
        <w:t>well</w:t>
      </w:r>
      <w:r w:rsidR="003A036D">
        <w:t xml:space="preserve"> prepared industry and government </w:t>
      </w:r>
    </w:p>
    <w:p w14:paraId="089FFC0E" w14:textId="38BBF0FE" w:rsidR="00B94193" w:rsidRDefault="00B94193" w:rsidP="003A036D">
      <w:pPr>
        <w:pStyle w:val="ListParagraph"/>
        <w:numPr>
          <w:ilvl w:val="0"/>
          <w:numId w:val="14"/>
        </w:numPr>
      </w:pPr>
      <w:r>
        <w:t>embedded a customer</w:t>
      </w:r>
      <w:r w:rsidR="00456692">
        <w:t>-</w:t>
      </w:r>
      <w:r>
        <w:t xml:space="preserve">centric approach within AHA </w:t>
      </w:r>
    </w:p>
    <w:p w14:paraId="07B94581" w14:textId="6FED95FD" w:rsidR="0040283A" w:rsidRDefault="0040283A" w:rsidP="003A036D">
      <w:pPr>
        <w:pStyle w:val="ListParagraph"/>
        <w:numPr>
          <w:ilvl w:val="0"/>
          <w:numId w:val="14"/>
        </w:numPr>
      </w:pPr>
      <w:r>
        <w:t>strengthened biosecurity on farm, enterprises and systems</w:t>
      </w:r>
    </w:p>
    <w:p w14:paraId="0356D779" w14:textId="77777777" w:rsidR="006125C8" w:rsidRPr="006125C8" w:rsidRDefault="0014540F" w:rsidP="0014540F">
      <w:pPr>
        <w:pStyle w:val="ListParagraph"/>
        <w:numPr>
          <w:ilvl w:val="0"/>
          <w:numId w:val="13"/>
        </w:numPr>
        <w:rPr>
          <w:lang w:val="en-US"/>
        </w:rPr>
      </w:pPr>
      <w:r>
        <w:t>leveraged our national data sets to maximise value</w:t>
      </w:r>
    </w:p>
    <w:p w14:paraId="5A365BD5" w14:textId="3594F65A" w:rsidR="00CB3126" w:rsidRPr="00B94193" w:rsidRDefault="0014540F" w:rsidP="0014540F">
      <w:pPr>
        <w:pStyle w:val="ListParagraph"/>
        <w:numPr>
          <w:ilvl w:val="0"/>
          <w:numId w:val="13"/>
        </w:numPr>
        <w:rPr>
          <w:lang w:val="en-US"/>
        </w:rPr>
      </w:pPr>
      <w:r>
        <w:t>strengthened partnerships</w:t>
      </w:r>
      <w:r w:rsidR="00CB3126">
        <w:t xml:space="preserve"> and driven</w:t>
      </w:r>
      <w:r>
        <w:t xml:space="preserve"> multisectoral engagement </w:t>
      </w:r>
      <w:r w:rsidR="00CB3126">
        <w:t xml:space="preserve">across the biosecurity collective </w:t>
      </w:r>
    </w:p>
    <w:p w14:paraId="4C55D62F" w14:textId="030F0FED" w:rsidR="0014540F" w:rsidRDefault="00CB3126" w:rsidP="00F35244">
      <w:pPr>
        <w:pStyle w:val="ListParagraph"/>
        <w:numPr>
          <w:ilvl w:val="0"/>
          <w:numId w:val="14"/>
        </w:numPr>
      </w:pPr>
      <w:r>
        <w:t>delivered</w:t>
      </w:r>
      <w:r w:rsidRPr="00CB3126">
        <w:t xml:space="preserve"> cross-sectoral outcomes that improve the status and integrity of regional, state and national biosecurity systems</w:t>
      </w:r>
      <w:r>
        <w:t xml:space="preserve"> protecting </w:t>
      </w:r>
      <w:r w:rsidRPr="00CB3126">
        <w:t>current market access pathways</w:t>
      </w:r>
      <w:r w:rsidR="00F95007">
        <w:t>.</w:t>
      </w:r>
      <w:r w:rsidRPr="00CB3126">
        <w:t xml:space="preserve"> </w:t>
      </w:r>
    </w:p>
    <w:p w14:paraId="4F8902A6" w14:textId="77777777" w:rsidR="00B94193" w:rsidRPr="003A036D" w:rsidRDefault="00B94193" w:rsidP="006125C8">
      <w:pPr>
        <w:ind w:left="360"/>
      </w:pPr>
    </w:p>
    <w:p w14:paraId="789F7151" w14:textId="77777777" w:rsidR="00F35244" w:rsidRPr="00616A5E" w:rsidRDefault="00F35244" w:rsidP="00F35244">
      <w:pPr>
        <w:rPr>
          <w:b/>
          <w:color w:val="46515B"/>
          <w:sz w:val="28"/>
          <w:szCs w:val="28"/>
        </w:rPr>
      </w:pPr>
      <w:r w:rsidRPr="00616A5E">
        <w:rPr>
          <w:b/>
          <w:color w:val="46515B"/>
          <w:sz w:val="28"/>
          <w:szCs w:val="28"/>
        </w:rPr>
        <w:t>OUR DELIVERY</w:t>
      </w:r>
    </w:p>
    <w:p w14:paraId="17CB185B" w14:textId="4F0C5A5B" w:rsidR="00F35244" w:rsidRDefault="006125C8" w:rsidP="00F35244">
      <w:r>
        <w:t xml:space="preserve">Rapid </w:t>
      </w:r>
      <w:r w:rsidRPr="00335601">
        <w:t>change is becoming a persistent feature in Australian agriculture</w:t>
      </w:r>
      <w:r>
        <w:t>, with d</w:t>
      </w:r>
      <w:r w:rsidRPr="00335601">
        <w:t xml:space="preserve">evelopments and disruptions occurring exponentially. </w:t>
      </w:r>
      <w:r w:rsidR="00F35244" w:rsidRPr="00335601">
        <w:t>This has a profound effect on animal health and biosecurity, posing increasingly complex challenges which traverse traditional boundaries.</w:t>
      </w:r>
      <w:r w:rsidR="00F35244">
        <w:t xml:space="preserve"> </w:t>
      </w:r>
    </w:p>
    <w:p w14:paraId="65720C22" w14:textId="0A86ABC2" w:rsidR="00B308C9" w:rsidRPr="00335601" w:rsidRDefault="00F35244" w:rsidP="00B308C9">
      <w:r w:rsidRPr="00335601">
        <w:lastRenderedPageBreak/>
        <w:t xml:space="preserve">We </w:t>
      </w:r>
      <w:r>
        <w:t>will w</w:t>
      </w:r>
      <w:r w:rsidRPr="00335601">
        <w:t>ork</w:t>
      </w:r>
      <w:r>
        <w:t xml:space="preserve"> </w:t>
      </w:r>
      <w:r w:rsidRPr="00335601">
        <w:t>with our members</w:t>
      </w:r>
      <w:r>
        <w:t xml:space="preserve"> and stakeholders to </w:t>
      </w:r>
      <w:r w:rsidRPr="00335601">
        <w:t>prioritis</w:t>
      </w:r>
      <w:r>
        <w:t xml:space="preserve">e </w:t>
      </w:r>
      <w:r w:rsidRPr="00335601">
        <w:t>evidence</w:t>
      </w:r>
      <w:r w:rsidR="008D0137">
        <w:t>-</w:t>
      </w:r>
      <w:r w:rsidRPr="00335601">
        <w:t xml:space="preserve">based, sustainable </w:t>
      </w:r>
      <w:r w:rsidR="00E16E30">
        <w:t>actions</w:t>
      </w:r>
      <w:r w:rsidR="00E16E30" w:rsidRPr="00335601">
        <w:t xml:space="preserve"> </w:t>
      </w:r>
      <w:r w:rsidRPr="00335601">
        <w:t xml:space="preserve">that will </w:t>
      </w:r>
      <w:r>
        <w:t>have the greatest impact</w:t>
      </w:r>
      <w:r w:rsidRPr="00335601">
        <w:t xml:space="preserve"> over the long term</w:t>
      </w:r>
      <w:r w:rsidR="006125C8">
        <w:t>.</w:t>
      </w:r>
    </w:p>
    <w:p w14:paraId="63487394" w14:textId="6AB15184" w:rsidR="00F35244" w:rsidRDefault="00F35244" w:rsidP="00F35244">
      <w:r>
        <w:t>T</w:t>
      </w:r>
      <w:r w:rsidRPr="00335601">
        <w:t>o deliver our objectives</w:t>
      </w:r>
      <w:r>
        <w:t>,</w:t>
      </w:r>
      <w:r w:rsidRPr="00760F39">
        <w:t xml:space="preserve"> </w:t>
      </w:r>
      <w:r w:rsidRPr="00335601">
        <w:t xml:space="preserve">AHA will seek </w:t>
      </w:r>
      <w:r>
        <w:t xml:space="preserve">to </w:t>
      </w:r>
      <w:r w:rsidRPr="00335601">
        <w:t>increase its funding resilience</w:t>
      </w:r>
      <w:r>
        <w:t xml:space="preserve"> throughout the </w:t>
      </w:r>
      <w:r w:rsidR="00266029">
        <w:t xml:space="preserve">strategic plan </w:t>
      </w:r>
      <w:r>
        <w:t xml:space="preserve">cycle. We will invest in the capabilities required to meet the changing needs of our </w:t>
      </w:r>
      <w:r w:rsidR="00E16E30">
        <w:t>sector,</w:t>
      </w:r>
      <w:r>
        <w:t xml:space="preserve"> maintaining discipline whilst ensuring we and the animal health and biosecurity system are equipped for the challenges of tomorrow. </w:t>
      </w:r>
    </w:p>
    <w:p w14:paraId="6D86DEF0" w14:textId="7362F444" w:rsidR="00F35244" w:rsidRPr="00335601" w:rsidRDefault="00F35244" w:rsidP="00EE56F7">
      <w:r w:rsidRPr="00335601">
        <w:t xml:space="preserve">As we enter this </w:t>
      </w:r>
      <w:r>
        <w:t xml:space="preserve">next </w:t>
      </w:r>
      <w:r w:rsidRPr="00335601">
        <w:t xml:space="preserve">phase, </w:t>
      </w:r>
      <w:r>
        <w:t xml:space="preserve">we will ensure that </w:t>
      </w:r>
      <w:r w:rsidR="00E16E30">
        <w:t xml:space="preserve">we have the right </w:t>
      </w:r>
      <w:r>
        <w:t xml:space="preserve">capabilities, partnerships, operating model and </w:t>
      </w:r>
      <w:r w:rsidRPr="00335601">
        <w:t>culture</w:t>
      </w:r>
      <w:r>
        <w:t xml:space="preserve"> </w:t>
      </w:r>
      <w:r w:rsidR="00E16E30">
        <w:t xml:space="preserve">to deliver higher </w:t>
      </w:r>
      <w:r>
        <w:t>performance</w:t>
      </w:r>
      <w:r w:rsidR="00E16E30">
        <w:t>.</w:t>
      </w:r>
    </w:p>
    <w:p w14:paraId="6A2385C9" w14:textId="77777777" w:rsidR="002570DB" w:rsidRPr="00616A5E" w:rsidRDefault="002570DB" w:rsidP="002570DB">
      <w:pPr>
        <w:rPr>
          <w:b/>
          <w:color w:val="46515B"/>
          <w:sz w:val="28"/>
          <w:szCs w:val="28"/>
        </w:rPr>
      </w:pPr>
      <w:r w:rsidRPr="00616A5E">
        <w:rPr>
          <w:b/>
          <w:color w:val="46515B"/>
          <w:sz w:val="28"/>
          <w:szCs w:val="28"/>
        </w:rPr>
        <w:t>OPERATING ENVIRONMENT</w:t>
      </w:r>
    </w:p>
    <w:p w14:paraId="6FD05FBC" w14:textId="23C6897D" w:rsidR="00660537" w:rsidRPr="00355798" w:rsidRDefault="003F208B" w:rsidP="00660537">
      <w:pPr>
        <w:rPr>
          <w:iCs/>
        </w:rPr>
      </w:pPr>
      <w:r>
        <w:rPr>
          <w:iCs/>
        </w:rPr>
        <w:t xml:space="preserve">To be successful, we must </w:t>
      </w:r>
      <w:r w:rsidRPr="00335601">
        <w:rPr>
          <w:iCs/>
        </w:rPr>
        <w:t>respond</w:t>
      </w:r>
      <w:r>
        <w:rPr>
          <w:iCs/>
        </w:rPr>
        <w:t xml:space="preserve"> </w:t>
      </w:r>
      <w:r w:rsidRPr="00335601">
        <w:rPr>
          <w:iCs/>
        </w:rPr>
        <w:t xml:space="preserve">to the increasing complexity and variability within our operating environment. </w:t>
      </w:r>
      <w:r w:rsidR="006125C8" w:rsidRPr="00335601">
        <w:rPr>
          <w:iCs/>
        </w:rPr>
        <w:t>Several</w:t>
      </w:r>
      <w:r w:rsidRPr="00335601">
        <w:rPr>
          <w:iCs/>
        </w:rPr>
        <w:t xml:space="preserve"> global megatrends, including </w:t>
      </w:r>
      <w:r w:rsidR="00CD59EC">
        <w:rPr>
          <w:iCs/>
        </w:rPr>
        <w:t xml:space="preserve">climate change and </w:t>
      </w:r>
      <w:r w:rsidRPr="00335601">
        <w:rPr>
          <w:iCs/>
        </w:rPr>
        <w:t xml:space="preserve">environmental sustainability, </w:t>
      </w:r>
      <w:r w:rsidR="00CD59EC">
        <w:rPr>
          <w:iCs/>
        </w:rPr>
        <w:t>global interconnectedness and trade intensification</w:t>
      </w:r>
      <w:r w:rsidRPr="00335601">
        <w:rPr>
          <w:iCs/>
        </w:rPr>
        <w:t xml:space="preserve">, </w:t>
      </w:r>
      <w:r>
        <w:rPr>
          <w:iCs/>
        </w:rPr>
        <w:t xml:space="preserve">shifting </w:t>
      </w:r>
      <w:r w:rsidRPr="00335601">
        <w:rPr>
          <w:iCs/>
        </w:rPr>
        <w:t>consumer expectations</w:t>
      </w:r>
      <w:r w:rsidR="00355798">
        <w:rPr>
          <w:iCs/>
        </w:rPr>
        <w:t xml:space="preserve">, </w:t>
      </w:r>
      <w:r w:rsidR="00CD59EC">
        <w:rPr>
          <w:iCs/>
        </w:rPr>
        <w:t>alternative protein and fibre products</w:t>
      </w:r>
      <w:r w:rsidR="00355798">
        <w:rPr>
          <w:iCs/>
        </w:rPr>
        <w:t xml:space="preserve"> and</w:t>
      </w:r>
      <w:r w:rsidR="00CD59EC">
        <w:rPr>
          <w:iCs/>
        </w:rPr>
        <w:t xml:space="preserve"> technology acceleration, </w:t>
      </w:r>
      <w:r>
        <w:rPr>
          <w:iCs/>
        </w:rPr>
        <w:t>require the biosecurity system to adapt rapidly</w:t>
      </w:r>
      <w:r w:rsidR="00355798">
        <w:rPr>
          <w:iCs/>
        </w:rPr>
        <w:t>.</w:t>
      </w:r>
      <w:r w:rsidR="007957E6">
        <w:t xml:space="preserve"> </w:t>
      </w:r>
    </w:p>
    <w:p w14:paraId="27F5A8D5" w14:textId="77777777" w:rsidR="006E034D" w:rsidRDefault="00660537" w:rsidP="007957E6">
      <w:r>
        <w:rPr>
          <w:iCs/>
        </w:rPr>
        <w:t>We will proactively lead the cross-sectoral, collaborative effort that an effective response to these issues demands. O</w:t>
      </w:r>
      <w:r w:rsidRPr="00335601">
        <w:rPr>
          <w:iCs/>
        </w:rPr>
        <w:t>ur role in</w:t>
      </w:r>
      <w:r w:rsidRPr="00335601">
        <w:t xml:space="preserve"> the </w:t>
      </w:r>
      <w:r>
        <w:t xml:space="preserve">collaborative </w:t>
      </w:r>
      <w:r w:rsidRPr="00335601">
        <w:t xml:space="preserve">development of strategy and policy, and the oversight of national, cross-sectoral programs </w:t>
      </w:r>
      <w:r>
        <w:t>will become ever more important in highlighting opportunities and responding to threats to the livestock sector.</w:t>
      </w:r>
    </w:p>
    <w:p w14:paraId="3257C7D9" w14:textId="191A76E5" w:rsidR="007957E6" w:rsidRPr="00E172C1" w:rsidRDefault="00355798" w:rsidP="007957E6">
      <w:r>
        <w:br w:type="page"/>
      </w:r>
    </w:p>
    <w:p w14:paraId="6C9A9AD5" w14:textId="77777777" w:rsidR="00E50286" w:rsidRDefault="00E50286" w:rsidP="00E50286">
      <w:pPr>
        <w:rPr>
          <w:b/>
          <w:bCs/>
          <w:lang w:val="en-US"/>
        </w:rPr>
      </w:pPr>
      <w:r w:rsidRPr="00616A5E">
        <w:rPr>
          <w:b/>
          <w:color w:val="46515B"/>
          <w:sz w:val="28"/>
          <w:szCs w:val="28"/>
        </w:rPr>
        <w:lastRenderedPageBreak/>
        <w:t>STRATEGIC PRIORITY 1</w:t>
      </w:r>
      <w:r>
        <w:rPr>
          <w:b/>
          <w:color w:val="46515B"/>
          <w:sz w:val="28"/>
          <w:szCs w:val="28"/>
        </w:rPr>
        <w:t xml:space="preserve">: </w:t>
      </w:r>
      <w:r w:rsidRPr="001F138A">
        <w:rPr>
          <w:b/>
          <w:color w:val="46515B"/>
          <w:sz w:val="28"/>
          <w:szCs w:val="28"/>
        </w:rPr>
        <w:t>Prepared and ready</w:t>
      </w:r>
    </w:p>
    <w:p w14:paraId="0232D6C4" w14:textId="77777777" w:rsidR="001F138A" w:rsidRDefault="00CD5359" w:rsidP="001F138A">
      <w:pPr>
        <w:rPr>
          <w:i/>
          <w:iCs/>
          <w:lang w:val="en-US"/>
        </w:rPr>
      </w:pPr>
      <w:r w:rsidRPr="000019FA">
        <w:rPr>
          <w:i/>
          <w:iCs/>
          <w:lang w:val="en-US"/>
        </w:rPr>
        <w:t>Enhancing</w:t>
      </w:r>
      <w:r w:rsidR="00B6423D" w:rsidRPr="000019FA">
        <w:rPr>
          <w:i/>
          <w:iCs/>
          <w:lang w:val="en-US"/>
        </w:rPr>
        <w:t xml:space="preserve"> Australia’s capability to detect and respond to emergency animal disease</w:t>
      </w:r>
      <w:r w:rsidR="00BB02AF">
        <w:rPr>
          <w:i/>
          <w:iCs/>
          <w:lang w:val="en-US"/>
        </w:rPr>
        <w:t xml:space="preserve"> (EAD)</w:t>
      </w:r>
      <w:r w:rsidRPr="000019FA">
        <w:rPr>
          <w:i/>
          <w:iCs/>
          <w:lang w:val="en-US"/>
        </w:rPr>
        <w:t>, supporting Australia’s domestic and international market access.</w:t>
      </w:r>
      <w:r w:rsidR="00B6423D" w:rsidRPr="000019FA">
        <w:rPr>
          <w:i/>
          <w:iCs/>
          <w:lang w:val="en-US"/>
        </w:rPr>
        <w:t xml:space="preserve"> </w:t>
      </w:r>
    </w:p>
    <w:p w14:paraId="7365DA91" w14:textId="6B77E972" w:rsidR="00BF50BE" w:rsidRDefault="00BF50BE" w:rsidP="00BF50BE">
      <w:r>
        <w:rPr>
          <w:lang w:val="en-US"/>
        </w:rPr>
        <w:t xml:space="preserve">Working with members and across sectors, we ensure that Australia’s emergency preparedness and response capabilities are strong and capable of dealing with rapid, ongoing change in the agricultural sector. We are responsive to changes in the system and work with our stakeholders to </w:t>
      </w:r>
      <w:r>
        <w:t>maximise</w:t>
      </w:r>
      <w:r>
        <w:rPr>
          <w:lang w:val="en-US"/>
        </w:rPr>
        <w:t xml:space="preserve"> impact. We meet our responsibilities to keep the system ready and strong through continually testing, learning, improving, and integrating new information and methods.</w:t>
      </w:r>
    </w:p>
    <w:p w14:paraId="257EE3D1" w14:textId="77777777" w:rsidR="00527BF3" w:rsidRPr="00D220AF" w:rsidRDefault="00527BF3" w:rsidP="00527BF3">
      <w:pPr>
        <w:rPr>
          <w:b/>
          <w:bCs/>
          <w:lang w:val="en-US"/>
        </w:rPr>
      </w:pPr>
      <w:r w:rsidRPr="00D220AF">
        <w:rPr>
          <w:b/>
          <w:bCs/>
          <w:lang w:val="en-US"/>
        </w:rPr>
        <w:t>Key focus areas:</w:t>
      </w:r>
    </w:p>
    <w:p w14:paraId="0FF68C24" w14:textId="77777777" w:rsidR="00F82CEF" w:rsidRDefault="00F82CEF" w:rsidP="000623DA">
      <w:pPr>
        <w:pStyle w:val="ListParagraph"/>
        <w:numPr>
          <w:ilvl w:val="0"/>
          <w:numId w:val="12"/>
        </w:numPr>
        <w:rPr>
          <w:iCs/>
        </w:rPr>
      </w:pPr>
      <w:r>
        <w:rPr>
          <w:iCs/>
        </w:rPr>
        <w:t>National response arrangements</w:t>
      </w:r>
    </w:p>
    <w:p w14:paraId="006AF1F0" w14:textId="77777777" w:rsidR="00527BF3" w:rsidRPr="000E1340" w:rsidRDefault="001C2A02" w:rsidP="006125C8">
      <w:pPr>
        <w:pStyle w:val="ListParagraph"/>
        <w:numPr>
          <w:ilvl w:val="0"/>
          <w:numId w:val="12"/>
        </w:numPr>
        <w:rPr>
          <w:iCs/>
        </w:rPr>
      </w:pPr>
      <w:r w:rsidRPr="000623DA">
        <w:rPr>
          <w:iCs/>
        </w:rPr>
        <w:t>Emergency disease p</w:t>
      </w:r>
      <w:r w:rsidR="00527BF3" w:rsidRPr="000E1340">
        <w:rPr>
          <w:iCs/>
        </w:rPr>
        <w:t xml:space="preserve">reparedness </w:t>
      </w:r>
    </w:p>
    <w:p w14:paraId="21D021C9" w14:textId="77777777" w:rsidR="001C2A02" w:rsidRPr="000E1340" w:rsidRDefault="001C2A02" w:rsidP="006125C8">
      <w:pPr>
        <w:pStyle w:val="ListParagraph"/>
        <w:numPr>
          <w:ilvl w:val="0"/>
          <w:numId w:val="12"/>
        </w:numPr>
        <w:rPr>
          <w:iCs/>
        </w:rPr>
      </w:pPr>
      <w:r w:rsidRPr="000E1340">
        <w:rPr>
          <w:iCs/>
        </w:rPr>
        <w:t>Response capability</w:t>
      </w:r>
      <w:r w:rsidR="000E1340">
        <w:rPr>
          <w:iCs/>
        </w:rPr>
        <w:t xml:space="preserve"> (training)</w:t>
      </w:r>
    </w:p>
    <w:p w14:paraId="48ACEC32" w14:textId="77777777" w:rsidR="00527BF3" w:rsidRDefault="00527BF3" w:rsidP="000623DA">
      <w:pPr>
        <w:pStyle w:val="ListParagraph"/>
        <w:numPr>
          <w:ilvl w:val="0"/>
          <w:numId w:val="12"/>
        </w:numPr>
        <w:rPr>
          <w:iCs/>
        </w:rPr>
      </w:pPr>
      <w:r w:rsidRPr="00845952">
        <w:rPr>
          <w:iCs/>
        </w:rPr>
        <w:t>Diagnosti</w:t>
      </w:r>
      <w:r w:rsidRPr="00BC59BE">
        <w:rPr>
          <w:iCs/>
        </w:rPr>
        <w:t>cs</w:t>
      </w:r>
    </w:p>
    <w:p w14:paraId="120075B5" w14:textId="77777777" w:rsidR="0040283A" w:rsidRDefault="00845952" w:rsidP="000623DA">
      <w:pPr>
        <w:pStyle w:val="ListParagraph"/>
        <w:numPr>
          <w:ilvl w:val="0"/>
          <w:numId w:val="12"/>
        </w:numPr>
        <w:rPr>
          <w:iCs/>
        </w:rPr>
      </w:pPr>
      <w:r>
        <w:rPr>
          <w:iCs/>
        </w:rPr>
        <w:t>Surveillance</w:t>
      </w:r>
    </w:p>
    <w:p w14:paraId="36B05A26" w14:textId="77777777" w:rsidR="0040283A" w:rsidRPr="00C57E6F" w:rsidRDefault="0040283A" w:rsidP="0040283A">
      <w:pPr>
        <w:pStyle w:val="ListParagraph"/>
        <w:numPr>
          <w:ilvl w:val="0"/>
          <w:numId w:val="12"/>
        </w:numPr>
        <w:rPr>
          <w:lang w:val="en-US"/>
        </w:rPr>
      </w:pPr>
      <w:r>
        <w:rPr>
          <w:lang w:val="en-US"/>
        </w:rPr>
        <w:t>Early detection of disease</w:t>
      </w:r>
    </w:p>
    <w:p w14:paraId="4286E2E6" w14:textId="429B2682" w:rsidR="000E1340" w:rsidRPr="0014540F" w:rsidRDefault="000E1340" w:rsidP="006125C8">
      <w:pPr>
        <w:pStyle w:val="ListParagraph"/>
        <w:numPr>
          <w:ilvl w:val="0"/>
          <w:numId w:val="12"/>
        </w:numPr>
        <w:rPr>
          <w:iCs/>
        </w:rPr>
      </w:pPr>
      <w:r w:rsidRPr="0040283A">
        <w:rPr>
          <w:iCs/>
        </w:rPr>
        <w:t>Policy</w:t>
      </w:r>
      <w:r w:rsidR="008218FF" w:rsidRPr="0040283A">
        <w:rPr>
          <w:iCs/>
        </w:rPr>
        <w:t xml:space="preserve"> development</w:t>
      </w:r>
      <w:r w:rsidR="008218FF" w:rsidRPr="0014540F">
        <w:rPr>
          <w:iCs/>
        </w:rPr>
        <w:t xml:space="preserve"> and insights</w:t>
      </w:r>
    </w:p>
    <w:p w14:paraId="4BBB6CE4" w14:textId="77777777" w:rsidR="001F138A" w:rsidRPr="00621379" w:rsidRDefault="001F138A" w:rsidP="001F138A">
      <w:pPr>
        <w:rPr>
          <w:b/>
          <w:bCs/>
          <w:lang w:val="en-US"/>
        </w:rPr>
      </w:pPr>
      <w:r>
        <w:rPr>
          <w:b/>
          <w:bCs/>
          <w:lang w:val="en-US"/>
        </w:rPr>
        <w:t>We will do this by:</w:t>
      </w:r>
    </w:p>
    <w:p w14:paraId="6120B5FC" w14:textId="77777777" w:rsidR="000019FA" w:rsidRDefault="000019FA" w:rsidP="001F138A">
      <w:pPr>
        <w:pStyle w:val="ListParagraph"/>
        <w:numPr>
          <w:ilvl w:val="0"/>
          <w:numId w:val="6"/>
        </w:numPr>
        <w:rPr>
          <w:lang w:val="en-US"/>
        </w:rPr>
      </w:pPr>
      <w:r>
        <w:rPr>
          <w:lang w:val="en-US"/>
        </w:rPr>
        <w:t xml:space="preserve">using our expertise and linkages with members and stakeholders to interpret conditions, </w:t>
      </w:r>
      <w:r w:rsidR="00BF50BE">
        <w:rPr>
          <w:lang w:val="en-US"/>
        </w:rPr>
        <w:t xml:space="preserve">identify </w:t>
      </w:r>
      <w:r>
        <w:rPr>
          <w:lang w:val="en-US"/>
        </w:rPr>
        <w:t xml:space="preserve">system vulnerabilities and devise options </w:t>
      </w:r>
      <w:r w:rsidR="00BF50BE">
        <w:rPr>
          <w:lang w:val="en-US"/>
        </w:rPr>
        <w:t>to improve response</w:t>
      </w:r>
    </w:p>
    <w:p w14:paraId="3EF280B4" w14:textId="77777777" w:rsidR="00D33DA7" w:rsidRPr="00D33DA7" w:rsidRDefault="005A651A" w:rsidP="00D33DA7">
      <w:pPr>
        <w:pStyle w:val="ListParagraph"/>
        <w:numPr>
          <w:ilvl w:val="0"/>
          <w:numId w:val="6"/>
        </w:numPr>
        <w:rPr>
          <w:lang w:val="en-US"/>
        </w:rPr>
      </w:pPr>
      <w:r>
        <w:rPr>
          <w:lang w:val="en-US"/>
        </w:rPr>
        <w:t>building response capability t</w:t>
      </w:r>
      <w:r w:rsidR="001F138A">
        <w:rPr>
          <w:lang w:val="en-US"/>
        </w:rPr>
        <w:t xml:space="preserve">hrough exercises, </w:t>
      </w:r>
      <w:r w:rsidR="001F138A" w:rsidRPr="009054B3">
        <w:rPr>
          <w:lang w:val="en-US"/>
        </w:rPr>
        <w:t xml:space="preserve">training, </w:t>
      </w:r>
      <w:r w:rsidR="001F138A">
        <w:rPr>
          <w:lang w:val="en-US"/>
        </w:rPr>
        <w:t>education</w:t>
      </w:r>
      <w:r w:rsidR="00BB02AF">
        <w:rPr>
          <w:lang w:val="en-US"/>
        </w:rPr>
        <w:t xml:space="preserve"> </w:t>
      </w:r>
      <w:r w:rsidR="001F138A">
        <w:rPr>
          <w:lang w:val="en-US"/>
        </w:rPr>
        <w:t>and</w:t>
      </w:r>
      <w:r w:rsidR="001F138A" w:rsidRPr="009054B3">
        <w:rPr>
          <w:lang w:val="en-US"/>
        </w:rPr>
        <w:t xml:space="preserve"> information sharing </w:t>
      </w:r>
    </w:p>
    <w:p w14:paraId="78405267" w14:textId="32E01958" w:rsidR="00D519B8" w:rsidRDefault="00D519B8" w:rsidP="001F138A">
      <w:pPr>
        <w:pStyle w:val="ListParagraph"/>
        <w:numPr>
          <w:ilvl w:val="0"/>
          <w:numId w:val="6"/>
        </w:numPr>
        <w:rPr>
          <w:lang w:val="en-US"/>
        </w:rPr>
      </w:pPr>
      <w:r>
        <w:rPr>
          <w:lang w:val="en-US"/>
        </w:rPr>
        <w:t>using innovation and technology to manage risk</w:t>
      </w:r>
      <w:r w:rsidR="002870F4">
        <w:rPr>
          <w:lang w:val="en-US"/>
        </w:rPr>
        <w:t>s</w:t>
      </w:r>
      <w:r w:rsidR="006125C8">
        <w:rPr>
          <w:lang w:val="en-US"/>
        </w:rPr>
        <w:t xml:space="preserve"> </w:t>
      </w:r>
      <w:r>
        <w:rPr>
          <w:lang w:val="en-US"/>
        </w:rPr>
        <w:t>efficien</w:t>
      </w:r>
      <w:r w:rsidR="002870F4">
        <w:rPr>
          <w:lang w:val="en-US"/>
        </w:rPr>
        <w:t>tly</w:t>
      </w:r>
      <w:r>
        <w:rPr>
          <w:lang w:val="en-US"/>
        </w:rPr>
        <w:t xml:space="preserve"> </w:t>
      </w:r>
    </w:p>
    <w:p w14:paraId="56A63187" w14:textId="7B34C7C0" w:rsidR="001F138A" w:rsidRDefault="00D33DA7" w:rsidP="001F138A">
      <w:pPr>
        <w:pStyle w:val="ListParagraph"/>
        <w:numPr>
          <w:ilvl w:val="0"/>
          <w:numId w:val="6"/>
        </w:numPr>
        <w:rPr>
          <w:lang w:val="en-US"/>
        </w:rPr>
      </w:pPr>
      <w:r>
        <w:rPr>
          <w:lang w:val="en-US"/>
        </w:rPr>
        <w:t>utilis</w:t>
      </w:r>
      <w:r w:rsidR="00CA5E91">
        <w:rPr>
          <w:lang w:val="en-US"/>
        </w:rPr>
        <w:t>ing</w:t>
      </w:r>
      <w:r w:rsidR="001F138A">
        <w:rPr>
          <w:lang w:val="en-US"/>
        </w:rPr>
        <w:t xml:space="preserve"> extension and surveillance </w:t>
      </w:r>
      <w:r>
        <w:rPr>
          <w:lang w:val="en-US"/>
        </w:rPr>
        <w:t xml:space="preserve">to provide </w:t>
      </w:r>
      <w:r w:rsidR="001F138A">
        <w:rPr>
          <w:lang w:val="en-US"/>
        </w:rPr>
        <w:t>predictive insights</w:t>
      </w:r>
      <w:r>
        <w:rPr>
          <w:lang w:val="en-US"/>
        </w:rPr>
        <w:t xml:space="preserve"> and resolve risks</w:t>
      </w:r>
    </w:p>
    <w:p w14:paraId="40C6E87A" w14:textId="7D1693B0" w:rsidR="00E50286" w:rsidRPr="00355798" w:rsidRDefault="001F138A" w:rsidP="001F138A">
      <w:pPr>
        <w:pStyle w:val="ListParagraph"/>
        <w:numPr>
          <w:ilvl w:val="0"/>
          <w:numId w:val="6"/>
        </w:numPr>
        <w:rPr>
          <w:lang w:val="en-US"/>
        </w:rPr>
      </w:pPr>
      <w:r>
        <w:t>work</w:t>
      </w:r>
      <w:r w:rsidR="00D33DA7">
        <w:t xml:space="preserve">ing collaboratively with the biosecurity collective to </w:t>
      </w:r>
      <w:r>
        <w:t xml:space="preserve">improve </w:t>
      </w:r>
      <w:r w:rsidR="00E50286">
        <w:t>whole</w:t>
      </w:r>
      <w:r w:rsidR="008D0137">
        <w:t>-</w:t>
      </w:r>
      <w:r w:rsidR="00E50286">
        <w:t>of</w:t>
      </w:r>
      <w:r w:rsidR="008D0137">
        <w:t>-</w:t>
      </w:r>
      <w:r w:rsidR="00E50286">
        <w:t>system preparedness and response capabilities</w:t>
      </w:r>
    </w:p>
    <w:p w14:paraId="29D16165" w14:textId="77777777" w:rsidR="00F37ED3" w:rsidRPr="00597BEC" w:rsidRDefault="00355798" w:rsidP="00F37ED3">
      <w:pPr>
        <w:pStyle w:val="ListParagraph"/>
        <w:numPr>
          <w:ilvl w:val="0"/>
          <w:numId w:val="6"/>
        </w:numPr>
        <w:rPr>
          <w:lang w:val="en-US"/>
        </w:rPr>
      </w:pPr>
      <w:r>
        <w:t>r</w:t>
      </w:r>
      <w:r w:rsidR="00F37ED3" w:rsidRPr="009054B3">
        <w:t>apid</w:t>
      </w:r>
      <w:r w:rsidR="00F37ED3">
        <w:t>ly</w:t>
      </w:r>
      <w:r w:rsidR="00F37ED3" w:rsidRPr="009054B3">
        <w:t xml:space="preserve"> shar</w:t>
      </w:r>
      <w:r>
        <w:t>ing</w:t>
      </w:r>
      <w:r w:rsidR="00F37ED3">
        <w:t xml:space="preserve"> insights</w:t>
      </w:r>
      <w:r w:rsidR="00F37ED3" w:rsidRPr="009054B3">
        <w:t xml:space="preserve"> across audiences using </w:t>
      </w:r>
      <w:r w:rsidR="00F37ED3">
        <w:t xml:space="preserve">improved </w:t>
      </w:r>
      <w:r w:rsidR="00F37ED3" w:rsidRPr="009054B3">
        <w:t>tools</w:t>
      </w:r>
      <w:r w:rsidR="00F37ED3">
        <w:t xml:space="preserve"> and</w:t>
      </w:r>
      <w:r w:rsidR="00F37ED3" w:rsidRPr="009054B3">
        <w:t xml:space="preserve"> dashboards</w:t>
      </w:r>
      <w:r>
        <w:t>.</w:t>
      </w:r>
    </w:p>
    <w:p w14:paraId="609227B2" w14:textId="77777777" w:rsidR="00F37ED3" w:rsidRPr="00E50286" w:rsidRDefault="00F37ED3" w:rsidP="00355798">
      <w:pPr>
        <w:pStyle w:val="ListParagraph"/>
        <w:rPr>
          <w:lang w:val="en-US"/>
        </w:rPr>
      </w:pPr>
    </w:p>
    <w:p w14:paraId="6209C6DB" w14:textId="77777777" w:rsidR="001F138A" w:rsidRPr="00621379" w:rsidRDefault="001F138A" w:rsidP="001F138A">
      <w:pPr>
        <w:rPr>
          <w:b/>
          <w:bCs/>
          <w:lang w:val="en-US"/>
        </w:rPr>
      </w:pPr>
      <w:r w:rsidRPr="00621379">
        <w:rPr>
          <w:b/>
          <w:bCs/>
          <w:lang w:val="en-US"/>
        </w:rPr>
        <w:t>Success looks like:</w:t>
      </w:r>
    </w:p>
    <w:p w14:paraId="2C1EAEAE" w14:textId="5A3923E7" w:rsidR="005A651A" w:rsidRDefault="00355798" w:rsidP="001F138A">
      <w:pPr>
        <w:pStyle w:val="ListParagraph"/>
        <w:numPr>
          <w:ilvl w:val="0"/>
          <w:numId w:val="2"/>
        </w:numPr>
        <w:rPr>
          <w:lang w:val="en-US"/>
        </w:rPr>
      </w:pPr>
      <w:r>
        <w:rPr>
          <w:rFonts w:cstheme="minorHAnsi"/>
          <w:lang w:val="en-US"/>
        </w:rPr>
        <w:t>e</w:t>
      </w:r>
      <w:r w:rsidR="00F37ED3">
        <w:rPr>
          <w:rFonts w:cstheme="minorHAnsi"/>
          <w:lang w:val="en-US"/>
        </w:rPr>
        <w:t xml:space="preserve">ffective </w:t>
      </w:r>
      <w:r w:rsidR="002870F4">
        <w:rPr>
          <w:rFonts w:cstheme="minorHAnsi"/>
          <w:lang w:val="en-US"/>
        </w:rPr>
        <w:t xml:space="preserve">disease </w:t>
      </w:r>
      <w:r w:rsidR="00F37ED3">
        <w:rPr>
          <w:rFonts w:cstheme="minorHAnsi"/>
          <w:lang w:val="en-US"/>
        </w:rPr>
        <w:t>preparedness and response capabilities enable rapid</w:t>
      </w:r>
      <w:r w:rsidR="005A651A" w:rsidRPr="00A833C0">
        <w:rPr>
          <w:rFonts w:cstheme="minorHAnsi"/>
          <w:lang w:val="en-US"/>
        </w:rPr>
        <w:t xml:space="preserve"> r</w:t>
      </w:r>
      <w:r w:rsidR="00F37ED3">
        <w:rPr>
          <w:rFonts w:cstheme="minorHAnsi"/>
          <w:lang w:val="en-US"/>
        </w:rPr>
        <w:t>esponse</w:t>
      </w:r>
      <w:r w:rsidR="00584161">
        <w:rPr>
          <w:rFonts w:cstheme="minorHAnsi"/>
          <w:lang w:val="en-US"/>
        </w:rPr>
        <w:t xml:space="preserve"> </w:t>
      </w:r>
      <w:r w:rsidR="005A651A" w:rsidRPr="00A833C0">
        <w:rPr>
          <w:rFonts w:cstheme="minorHAnsi"/>
          <w:lang w:val="en-US"/>
        </w:rPr>
        <w:t xml:space="preserve">to animal biosecurity </w:t>
      </w:r>
      <w:r w:rsidR="005A651A">
        <w:rPr>
          <w:rFonts w:cstheme="minorHAnsi"/>
          <w:lang w:val="en-US"/>
        </w:rPr>
        <w:t xml:space="preserve">incidents </w:t>
      </w:r>
      <w:r w:rsidR="005A651A" w:rsidRPr="00A833C0">
        <w:rPr>
          <w:rFonts w:cstheme="minorHAnsi"/>
          <w:lang w:val="en-US"/>
        </w:rPr>
        <w:t>which impact health, welfare and market access</w:t>
      </w:r>
      <w:r w:rsidR="005A651A">
        <w:rPr>
          <w:lang w:val="en-US"/>
        </w:rPr>
        <w:t xml:space="preserve"> </w:t>
      </w:r>
    </w:p>
    <w:p w14:paraId="30200B00" w14:textId="2A91B0F8" w:rsidR="001F138A" w:rsidRDefault="00E209E0" w:rsidP="001F138A">
      <w:pPr>
        <w:pStyle w:val="ListParagraph"/>
        <w:numPr>
          <w:ilvl w:val="0"/>
          <w:numId w:val="2"/>
        </w:numPr>
        <w:rPr>
          <w:lang w:val="en-US"/>
        </w:rPr>
      </w:pPr>
      <w:r>
        <w:rPr>
          <w:lang w:val="en-US"/>
        </w:rPr>
        <w:t xml:space="preserve">contemporary </w:t>
      </w:r>
      <w:r w:rsidR="00714F3F">
        <w:rPr>
          <w:lang w:val="en-US"/>
        </w:rPr>
        <w:t xml:space="preserve">emergency response agreements </w:t>
      </w:r>
      <w:r w:rsidR="002870F4">
        <w:rPr>
          <w:lang w:val="en-US"/>
        </w:rPr>
        <w:t>between industry and government</w:t>
      </w:r>
    </w:p>
    <w:p w14:paraId="5852C4E8" w14:textId="3074F3C9" w:rsidR="001F138A" w:rsidRPr="00E50286" w:rsidRDefault="00E50286" w:rsidP="001F138A">
      <w:pPr>
        <w:pStyle w:val="ListParagraph"/>
        <w:numPr>
          <w:ilvl w:val="0"/>
          <w:numId w:val="2"/>
        </w:numPr>
        <w:rPr>
          <w:iCs/>
        </w:rPr>
      </w:pPr>
      <w:r w:rsidRPr="00E50286">
        <w:rPr>
          <w:iCs/>
        </w:rPr>
        <w:t xml:space="preserve">robust relationships and shared </w:t>
      </w:r>
      <w:r w:rsidR="00A44EFA">
        <w:rPr>
          <w:iCs/>
        </w:rPr>
        <w:t>outcomes</w:t>
      </w:r>
      <w:r w:rsidRPr="00E50286">
        <w:rPr>
          <w:iCs/>
        </w:rPr>
        <w:t xml:space="preserve"> across the biosecurity collective, leading to </w:t>
      </w:r>
      <w:r>
        <w:rPr>
          <w:iCs/>
        </w:rPr>
        <w:t xml:space="preserve">improved </w:t>
      </w:r>
      <w:r w:rsidR="001F138A">
        <w:t xml:space="preserve">effectiveness </w:t>
      </w:r>
      <w:r>
        <w:t>across the agriculture</w:t>
      </w:r>
      <w:r w:rsidR="001F138A">
        <w:t xml:space="preserve"> </w:t>
      </w:r>
      <w:r>
        <w:rPr>
          <w:lang w:val="en-US"/>
        </w:rPr>
        <w:t>emergency preparedness and response system</w:t>
      </w:r>
      <w:r w:rsidR="001F138A">
        <w:t xml:space="preserve"> </w:t>
      </w:r>
    </w:p>
    <w:p w14:paraId="3F3681C4" w14:textId="04DAA905" w:rsidR="00E50286" w:rsidRPr="00E172C1" w:rsidRDefault="001F138A" w:rsidP="00E172C1">
      <w:pPr>
        <w:pStyle w:val="ListParagraph"/>
        <w:numPr>
          <w:ilvl w:val="0"/>
          <w:numId w:val="2"/>
        </w:numPr>
        <w:rPr>
          <w:iCs/>
        </w:rPr>
      </w:pPr>
      <w:r>
        <w:rPr>
          <w:iCs/>
        </w:rPr>
        <w:t xml:space="preserve">fit for purpose systems and capabilities </w:t>
      </w:r>
      <w:r w:rsidR="002870F4">
        <w:rPr>
          <w:iCs/>
        </w:rPr>
        <w:t>over short and long</w:t>
      </w:r>
      <w:r>
        <w:rPr>
          <w:iCs/>
        </w:rPr>
        <w:t xml:space="preserve"> horizons, relevan</w:t>
      </w:r>
      <w:r w:rsidR="002870F4">
        <w:rPr>
          <w:iCs/>
        </w:rPr>
        <w:t>t</w:t>
      </w:r>
      <w:r>
        <w:rPr>
          <w:iCs/>
        </w:rPr>
        <w:t xml:space="preserve"> and valu</w:t>
      </w:r>
      <w:r w:rsidR="002870F4">
        <w:rPr>
          <w:iCs/>
        </w:rPr>
        <w:t>able</w:t>
      </w:r>
      <w:r w:rsidR="006125C8">
        <w:rPr>
          <w:iCs/>
        </w:rPr>
        <w:t xml:space="preserve"> </w:t>
      </w:r>
      <w:r w:rsidR="002870F4">
        <w:rPr>
          <w:iCs/>
        </w:rPr>
        <w:t>to</w:t>
      </w:r>
      <w:r>
        <w:rPr>
          <w:iCs/>
        </w:rPr>
        <w:t xml:space="preserve"> all stakeholders</w:t>
      </w:r>
      <w:r w:rsidR="00E50286">
        <w:rPr>
          <w:iCs/>
        </w:rPr>
        <w:t>.</w:t>
      </w:r>
    </w:p>
    <w:p w14:paraId="3A221285" w14:textId="480F402F" w:rsidR="001F138A" w:rsidRDefault="00E172C1" w:rsidP="001F138A">
      <w:pPr>
        <w:rPr>
          <w:lang w:val="en-US"/>
        </w:rPr>
      </w:pPr>
      <w:r>
        <w:rPr>
          <w:lang w:val="en-US"/>
        </w:rPr>
        <w:br w:type="page"/>
      </w:r>
    </w:p>
    <w:p w14:paraId="5C78EEF1" w14:textId="77777777" w:rsidR="00E50286" w:rsidRDefault="00E50286" w:rsidP="00E50286">
      <w:pPr>
        <w:rPr>
          <w:b/>
          <w:bCs/>
          <w:lang w:val="en-US"/>
        </w:rPr>
      </w:pPr>
      <w:r w:rsidRPr="00616A5E">
        <w:rPr>
          <w:b/>
          <w:color w:val="46515B"/>
          <w:sz w:val="28"/>
          <w:szCs w:val="28"/>
        </w:rPr>
        <w:lastRenderedPageBreak/>
        <w:t xml:space="preserve">STRATEGIC PRIORITY </w:t>
      </w:r>
      <w:r>
        <w:rPr>
          <w:b/>
          <w:color w:val="46515B"/>
          <w:sz w:val="28"/>
          <w:szCs w:val="28"/>
        </w:rPr>
        <w:t xml:space="preserve">2: </w:t>
      </w:r>
      <w:r w:rsidR="008863C3">
        <w:rPr>
          <w:b/>
          <w:color w:val="46515B"/>
          <w:sz w:val="28"/>
          <w:szCs w:val="28"/>
        </w:rPr>
        <w:t xml:space="preserve">Better </w:t>
      </w:r>
      <w:r>
        <w:rPr>
          <w:b/>
          <w:color w:val="46515B"/>
          <w:sz w:val="28"/>
          <w:szCs w:val="28"/>
        </w:rPr>
        <w:t>h</w:t>
      </w:r>
      <w:r w:rsidR="005A651A">
        <w:rPr>
          <w:b/>
          <w:color w:val="46515B"/>
          <w:sz w:val="28"/>
          <w:szCs w:val="28"/>
        </w:rPr>
        <w:t>e</w:t>
      </w:r>
      <w:r>
        <w:rPr>
          <w:b/>
          <w:color w:val="46515B"/>
          <w:sz w:val="28"/>
          <w:szCs w:val="28"/>
        </w:rPr>
        <w:t>alth and biosecurity</w:t>
      </w:r>
      <w:r w:rsidR="00031E4F">
        <w:rPr>
          <w:b/>
          <w:color w:val="46515B"/>
          <w:sz w:val="28"/>
          <w:szCs w:val="28"/>
        </w:rPr>
        <w:t xml:space="preserve"> </w:t>
      </w:r>
    </w:p>
    <w:p w14:paraId="26737CD4" w14:textId="77777777" w:rsidR="005A651A" w:rsidRDefault="00C82A13">
      <w:pPr>
        <w:rPr>
          <w:i/>
          <w:iCs/>
        </w:rPr>
      </w:pPr>
      <w:r>
        <w:rPr>
          <w:i/>
          <w:iCs/>
        </w:rPr>
        <w:t>With a focus on prevention and s</w:t>
      </w:r>
      <w:r w:rsidR="00E50286" w:rsidRPr="005A651A">
        <w:rPr>
          <w:i/>
          <w:iCs/>
        </w:rPr>
        <w:t>trengthen</w:t>
      </w:r>
      <w:r w:rsidR="005A651A" w:rsidRPr="005A651A">
        <w:rPr>
          <w:i/>
          <w:iCs/>
        </w:rPr>
        <w:t>ing</w:t>
      </w:r>
      <w:r w:rsidR="00E50286" w:rsidRPr="005A651A">
        <w:rPr>
          <w:i/>
          <w:iCs/>
        </w:rPr>
        <w:t xml:space="preserve"> on-farm </w:t>
      </w:r>
      <w:r w:rsidR="004A387F">
        <w:rPr>
          <w:i/>
          <w:iCs/>
        </w:rPr>
        <w:t xml:space="preserve">and supply chain </w:t>
      </w:r>
      <w:r w:rsidR="00E50286" w:rsidRPr="005A651A">
        <w:rPr>
          <w:i/>
          <w:iCs/>
        </w:rPr>
        <w:t>biosecurity practices</w:t>
      </w:r>
      <w:r w:rsidR="004A387F">
        <w:rPr>
          <w:i/>
          <w:iCs/>
        </w:rPr>
        <w:t xml:space="preserve">, ensuring </w:t>
      </w:r>
      <w:r w:rsidR="004A387F" w:rsidRPr="004A387F">
        <w:rPr>
          <w:i/>
          <w:iCs/>
        </w:rPr>
        <w:t xml:space="preserve">animal health and product integrity is protected, reducing the risks and impacts of disease </w:t>
      </w:r>
      <w:r w:rsidR="00593F20">
        <w:rPr>
          <w:i/>
          <w:iCs/>
        </w:rPr>
        <w:t>across</w:t>
      </w:r>
      <w:r w:rsidR="004A387F" w:rsidRPr="004A387F">
        <w:rPr>
          <w:i/>
          <w:iCs/>
        </w:rPr>
        <w:t xml:space="preserve"> the value chain</w:t>
      </w:r>
      <w:r w:rsidR="00F2495C">
        <w:rPr>
          <w:i/>
          <w:iCs/>
        </w:rPr>
        <w:t xml:space="preserve"> and improving producer outcomes. </w:t>
      </w:r>
    </w:p>
    <w:p w14:paraId="37888C5C" w14:textId="31B7474E" w:rsidR="00760923" w:rsidRDefault="00456692" w:rsidP="00355798">
      <w:r>
        <w:t xml:space="preserve">With strong </w:t>
      </w:r>
      <w:r w:rsidR="00F37ED3">
        <w:t>government and industry</w:t>
      </w:r>
      <w:r>
        <w:t xml:space="preserve"> connections</w:t>
      </w:r>
      <w:r w:rsidR="00F37ED3">
        <w:t>,</w:t>
      </w:r>
      <w:r w:rsidR="00F37ED3" w:rsidRPr="00335601">
        <w:t xml:space="preserve"> AHA</w:t>
      </w:r>
      <w:r w:rsidR="00F37ED3">
        <w:t xml:space="preserve"> provides a unique perspective on the Australian biosecurity and animal health system.</w:t>
      </w:r>
      <w:r w:rsidR="00355798">
        <w:t xml:space="preserve"> As an effective collaborator</w:t>
      </w:r>
      <w:r w:rsidR="00760923">
        <w:t xml:space="preserve"> and trusted partner, we work with our members and stakeholders </w:t>
      </w:r>
      <w:r w:rsidR="00A967AF">
        <w:t xml:space="preserve">to make meaningful impact </w:t>
      </w:r>
      <w:bookmarkStart w:id="0" w:name="_GoBack"/>
      <w:bookmarkEnd w:id="0"/>
      <w:r w:rsidR="00760923">
        <w:t xml:space="preserve">at a grass-roots level. </w:t>
      </w:r>
    </w:p>
    <w:p w14:paraId="0C7D79DF" w14:textId="255EF3B7" w:rsidR="00BE3EA2" w:rsidRDefault="00760923">
      <w:pPr>
        <w:rPr>
          <w:lang w:val="en-US"/>
        </w:rPr>
      </w:pPr>
      <w:r>
        <w:t>By</w:t>
      </w:r>
      <w:r w:rsidR="00A44EFA">
        <w:t xml:space="preserve"> </w:t>
      </w:r>
      <w:r>
        <w:t xml:space="preserve">understanding the unique needs of our members we </w:t>
      </w:r>
      <w:r w:rsidR="00456692">
        <w:t>can</w:t>
      </w:r>
      <w:r w:rsidR="008D0137">
        <w:t xml:space="preserve"> provide</w:t>
      </w:r>
      <w:r w:rsidR="00A967AF" w:rsidRPr="00355798">
        <w:rPr>
          <w:lang w:val="en-US"/>
        </w:rPr>
        <w:t xml:space="preserve"> analysis, bring insight and thought leadership to emerging issues and shar</w:t>
      </w:r>
      <w:r w:rsidR="002870F4">
        <w:rPr>
          <w:lang w:val="en-US"/>
        </w:rPr>
        <w:t>e</w:t>
      </w:r>
      <w:r w:rsidR="00A967AF" w:rsidRPr="00355798">
        <w:rPr>
          <w:lang w:val="en-US"/>
        </w:rPr>
        <w:t xml:space="preserve"> this for the benefit of industry and government</w:t>
      </w:r>
      <w:r w:rsidR="002870F4">
        <w:rPr>
          <w:lang w:val="en-US"/>
        </w:rPr>
        <w:t>.  T</w:t>
      </w:r>
      <w:r w:rsidR="00BE3EA2">
        <w:rPr>
          <w:lang w:val="en-US"/>
        </w:rPr>
        <w:t xml:space="preserve">hrough joint effort </w:t>
      </w:r>
      <w:r w:rsidR="00BE3EA2">
        <w:rPr>
          <w:iCs/>
        </w:rPr>
        <w:t xml:space="preserve">we will ensure producers provide a premium </w:t>
      </w:r>
      <w:r w:rsidR="006125C8">
        <w:rPr>
          <w:iCs/>
        </w:rPr>
        <w:t>disease-free</w:t>
      </w:r>
      <w:r w:rsidR="00BE3EA2">
        <w:rPr>
          <w:iCs/>
        </w:rPr>
        <w:t xml:space="preserve"> product with high levels of access to markets at home and overseas</w:t>
      </w:r>
      <w:r w:rsidR="00BE3EA2">
        <w:rPr>
          <w:lang w:val="en-US"/>
        </w:rPr>
        <w:t xml:space="preserve">. </w:t>
      </w:r>
    </w:p>
    <w:p w14:paraId="44B90853" w14:textId="77777777" w:rsidR="000623DA" w:rsidRPr="00D220AF" w:rsidRDefault="000623DA" w:rsidP="000623DA">
      <w:pPr>
        <w:rPr>
          <w:b/>
          <w:bCs/>
          <w:lang w:val="en-US"/>
        </w:rPr>
      </w:pPr>
      <w:r w:rsidRPr="00D220AF">
        <w:rPr>
          <w:b/>
          <w:bCs/>
          <w:lang w:val="en-US"/>
        </w:rPr>
        <w:t>Key focus areas:</w:t>
      </w:r>
    </w:p>
    <w:p w14:paraId="0981275B" w14:textId="2BF1879D" w:rsidR="000E1340" w:rsidRPr="00E172C1" w:rsidRDefault="000E1340" w:rsidP="000623DA">
      <w:pPr>
        <w:pStyle w:val="ListParagraph"/>
        <w:numPr>
          <w:ilvl w:val="0"/>
          <w:numId w:val="11"/>
        </w:numPr>
        <w:rPr>
          <w:sz w:val="20"/>
          <w:szCs w:val="20"/>
          <w:lang w:val="en-US"/>
        </w:rPr>
      </w:pPr>
      <w:r w:rsidRPr="00E172C1">
        <w:rPr>
          <w:sz w:val="20"/>
          <w:szCs w:val="20"/>
          <w:lang w:val="en-US"/>
        </w:rPr>
        <w:t>On-farm and supply chain biosecurity</w:t>
      </w:r>
      <w:r w:rsidR="008218FF" w:rsidRPr="00E172C1">
        <w:rPr>
          <w:sz w:val="20"/>
          <w:szCs w:val="20"/>
          <w:lang w:val="en-US"/>
        </w:rPr>
        <w:t xml:space="preserve"> </w:t>
      </w:r>
    </w:p>
    <w:p w14:paraId="7BE72A11" w14:textId="67F2E50D" w:rsidR="008218FF" w:rsidRPr="00E172C1" w:rsidRDefault="008218FF" w:rsidP="000623DA">
      <w:pPr>
        <w:pStyle w:val="ListParagraph"/>
        <w:numPr>
          <w:ilvl w:val="0"/>
          <w:numId w:val="11"/>
        </w:numPr>
        <w:rPr>
          <w:sz w:val="20"/>
          <w:szCs w:val="20"/>
          <w:lang w:val="en-US"/>
        </w:rPr>
      </w:pPr>
      <w:r w:rsidRPr="00E172C1">
        <w:rPr>
          <w:sz w:val="20"/>
          <w:szCs w:val="20"/>
          <w:lang w:val="en-US"/>
        </w:rPr>
        <w:t xml:space="preserve">Animal health </w:t>
      </w:r>
    </w:p>
    <w:p w14:paraId="3ACF814F" w14:textId="3A842E0B" w:rsidR="000623DA" w:rsidRPr="00E172C1" w:rsidRDefault="000623DA" w:rsidP="000623DA">
      <w:pPr>
        <w:pStyle w:val="ListParagraph"/>
        <w:numPr>
          <w:ilvl w:val="0"/>
          <w:numId w:val="11"/>
        </w:numPr>
        <w:rPr>
          <w:sz w:val="20"/>
          <w:szCs w:val="20"/>
          <w:lang w:val="en-US"/>
        </w:rPr>
      </w:pPr>
      <w:r w:rsidRPr="00E172C1">
        <w:rPr>
          <w:sz w:val="20"/>
          <w:szCs w:val="20"/>
          <w:lang w:val="en-US"/>
        </w:rPr>
        <w:t>Extension</w:t>
      </w:r>
    </w:p>
    <w:p w14:paraId="45A096D4" w14:textId="77777777" w:rsidR="000E1340" w:rsidRPr="00E172C1" w:rsidRDefault="00901ADC" w:rsidP="000623DA">
      <w:pPr>
        <w:pStyle w:val="ListParagraph"/>
        <w:numPr>
          <w:ilvl w:val="0"/>
          <w:numId w:val="11"/>
        </w:numPr>
        <w:rPr>
          <w:sz w:val="20"/>
          <w:szCs w:val="20"/>
          <w:lang w:val="en-US"/>
        </w:rPr>
      </w:pPr>
      <w:r w:rsidRPr="00E172C1">
        <w:rPr>
          <w:sz w:val="20"/>
          <w:szCs w:val="20"/>
          <w:lang w:val="en-US"/>
        </w:rPr>
        <w:t>T</w:t>
      </w:r>
      <w:r w:rsidR="000E1340" w:rsidRPr="00E172C1">
        <w:rPr>
          <w:sz w:val="20"/>
          <w:szCs w:val="20"/>
          <w:lang w:val="en-US"/>
        </w:rPr>
        <w:t>raceability</w:t>
      </w:r>
    </w:p>
    <w:p w14:paraId="3CC728C5" w14:textId="29B504F8" w:rsidR="00F620A4" w:rsidRPr="00E172C1" w:rsidRDefault="00F620A4" w:rsidP="008B3B81">
      <w:pPr>
        <w:pStyle w:val="ListParagraph"/>
        <w:numPr>
          <w:ilvl w:val="0"/>
          <w:numId w:val="11"/>
        </w:numPr>
        <w:rPr>
          <w:sz w:val="20"/>
          <w:szCs w:val="20"/>
          <w:lang w:val="en-US"/>
        </w:rPr>
      </w:pPr>
      <w:r w:rsidRPr="00E172C1">
        <w:rPr>
          <w:sz w:val="20"/>
          <w:szCs w:val="20"/>
          <w:lang w:val="en-US"/>
        </w:rPr>
        <w:t>Welfare</w:t>
      </w:r>
    </w:p>
    <w:p w14:paraId="208C7084" w14:textId="45A805A9" w:rsidR="008218FF" w:rsidRPr="00E172C1" w:rsidRDefault="008218FF" w:rsidP="008B3B81">
      <w:pPr>
        <w:pStyle w:val="ListParagraph"/>
        <w:numPr>
          <w:ilvl w:val="0"/>
          <w:numId w:val="11"/>
        </w:numPr>
        <w:rPr>
          <w:sz w:val="20"/>
          <w:szCs w:val="20"/>
          <w:lang w:val="en-US"/>
        </w:rPr>
      </w:pPr>
      <w:r w:rsidRPr="00E172C1">
        <w:rPr>
          <w:sz w:val="20"/>
          <w:szCs w:val="20"/>
          <w:lang w:val="en-US"/>
        </w:rPr>
        <w:t>Antimicrobial resistance/One Health</w:t>
      </w:r>
    </w:p>
    <w:p w14:paraId="1C5E5D07" w14:textId="401C4261" w:rsidR="008218FF" w:rsidRPr="00E172C1" w:rsidRDefault="008218FF" w:rsidP="008218FF">
      <w:pPr>
        <w:pStyle w:val="ListParagraph"/>
        <w:numPr>
          <w:ilvl w:val="0"/>
          <w:numId w:val="11"/>
        </w:numPr>
        <w:rPr>
          <w:iCs/>
          <w:sz w:val="20"/>
          <w:szCs w:val="20"/>
        </w:rPr>
      </w:pPr>
      <w:r w:rsidRPr="00E172C1">
        <w:rPr>
          <w:iCs/>
          <w:sz w:val="20"/>
          <w:szCs w:val="20"/>
        </w:rPr>
        <w:t>Policy development and insights</w:t>
      </w:r>
    </w:p>
    <w:p w14:paraId="3F73DAAB" w14:textId="07A54555" w:rsidR="000623DA" w:rsidRPr="00E172C1" w:rsidRDefault="008218FF" w:rsidP="00E172C1">
      <w:pPr>
        <w:pStyle w:val="ListParagraph"/>
        <w:numPr>
          <w:ilvl w:val="0"/>
          <w:numId w:val="11"/>
        </w:numPr>
        <w:rPr>
          <w:sz w:val="20"/>
          <w:szCs w:val="20"/>
          <w:lang w:val="en-US"/>
        </w:rPr>
      </w:pPr>
      <w:r w:rsidRPr="00E172C1">
        <w:rPr>
          <w:sz w:val="20"/>
          <w:szCs w:val="20"/>
          <w:lang w:val="en-US"/>
        </w:rPr>
        <w:t>Data and risk analysis</w:t>
      </w:r>
    </w:p>
    <w:p w14:paraId="5A98A870" w14:textId="77777777" w:rsidR="00C30CF5" w:rsidRDefault="00A47F05">
      <w:pPr>
        <w:rPr>
          <w:b/>
          <w:bCs/>
          <w:lang w:val="en-US"/>
        </w:rPr>
      </w:pPr>
      <w:r>
        <w:rPr>
          <w:b/>
          <w:bCs/>
          <w:lang w:val="en-US"/>
        </w:rPr>
        <w:t>We will do this by:</w:t>
      </w:r>
    </w:p>
    <w:p w14:paraId="2D82B41E" w14:textId="77777777" w:rsidR="00425A9F" w:rsidRPr="00425A9F" w:rsidRDefault="00425A9F" w:rsidP="00425A9F">
      <w:pPr>
        <w:pStyle w:val="ListParagraph"/>
        <w:numPr>
          <w:ilvl w:val="0"/>
          <w:numId w:val="5"/>
        </w:numPr>
      </w:pPr>
      <w:r>
        <w:rPr>
          <w:rFonts w:cstheme="minorHAnsi"/>
          <w:lang w:val="en-US"/>
        </w:rPr>
        <w:t>providing</w:t>
      </w:r>
      <w:r w:rsidRPr="00A833C0">
        <w:rPr>
          <w:rFonts w:cstheme="minorHAnsi"/>
          <w:lang w:val="en-US"/>
        </w:rPr>
        <w:t xml:space="preserve"> resources</w:t>
      </w:r>
      <w:r w:rsidR="00BE3EA2">
        <w:rPr>
          <w:rFonts w:cstheme="minorHAnsi"/>
          <w:lang w:val="en-US"/>
        </w:rPr>
        <w:t xml:space="preserve"> </w:t>
      </w:r>
      <w:r w:rsidR="00F51CCB">
        <w:rPr>
          <w:rFonts w:cstheme="minorHAnsi"/>
          <w:lang w:val="en-US"/>
        </w:rPr>
        <w:t xml:space="preserve">to </w:t>
      </w:r>
      <w:r w:rsidRPr="00A833C0">
        <w:rPr>
          <w:rFonts w:cstheme="minorHAnsi"/>
          <w:lang w:val="en-US"/>
        </w:rPr>
        <w:t xml:space="preserve">stakeholders to implement preventative </w:t>
      </w:r>
      <w:r>
        <w:rPr>
          <w:rFonts w:cstheme="minorHAnsi"/>
          <w:lang w:val="en-US"/>
        </w:rPr>
        <w:t xml:space="preserve">biosecurity </w:t>
      </w:r>
      <w:r w:rsidRPr="00A833C0">
        <w:rPr>
          <w:rFonts w:cstheme="minorHAnsi"/>
          <w:lang w:val="en-US"/>
        </w:rPr>
        <w:t>measures</w:t>
      </w:r>
      <w:r w:rsidR="00A44EFA">
        <w:rPr>
          <w:rFonts w:cstheme="minorHAnsi"/>
          <w:lang w:val="en-US"/>
        </w:rPr>
        <w:t xml:space="preserve"> and practices</w:t>
      </w:r>
      <w:r w:rsidRPr="00A833C0">
        <w:rPr>
          <w:rFonts w:cstheme="minorHAnsi"/>
          <w:lang w:val="en-US"/>
        </w:rPr>
        <w:t xml:space="preserve"> to protect animal health</w:t>
      </w:r>
      <w:r w:rsidR="00AA7AFD">
        <w:rPr>
          <w:rFonts w:cstheme="minorHAnsi"/>
          <w:lang w:val="en-US"/>
        </w:rPr>
        <w:t>,</w:t>
      </w:r>
      <w:r w:rsidRPr="00A833C0">
        <w:rPr>
          <w:rFonts w:cstheme="minorHAnsi"/>
          <w:lang w:val="en-US"/>
        </w:rPr>
        <w:t xml:space="preserve"> industry productivity</w:t>
      </w:r>
      <w:r w:rsidR="00AA7AFD">
        <w:rPr>
          <w:rFonts w:cstheme="minorHAnsi"/>
          <w:lang w:val="en-US"/>
        </w:rPr>
        <w:t xml:space="preserve"> and product integrity</w:t>
      </w:r>
    </w:p>
    <w:p w14:paraId="0A44BE2A" w14:textId="77777777" w:rsidR="00746D2C" w:rsidRDefault="00746D2C" w:rsidP="00746D2C">
      <w:pPr>
        <w:pStyle w:val="ListParagraph"/>
        <w:numPr>
          <w:ilvl w:val="0"/>
          <w:numId w:val="5"/>
        </w:numPr>
      </w:pPr>
      <w:r>
        <w:t>i</w:t>
      </w:r>
      <w:r w:rsidRPr="00746D2C">
        <w:t>nvest</w:t>
      </w:r>
      <w:r>
        <w:t>ing</w:t>
      </w:r>
      <w:r w:rsidRPr="00746D2C">
        <w:t xml:space="preserve"> in </w:t>
      </w:r>
      <w:r>
        <w:t xml:space="preserve">the </w:t>
      </w:r>
      <w:r w:rsidRPr="00746D2C">
        <w:t>capabilities required to bring insight and leadership to tomorrow</w:t>
      </w:r>
      <w:r w:rsidR="00AA7AFD">
        <w:t>’</w:t>
      </w:r>
      <w:r w:rsidRPr="00746D2C">
        <w:t>s challenges</w:t>
      </w:r>
    </w:p>
    <w:p w14:paraId="0A400DE1" w14:textId="77777777" w:rsidR="008E2903" w:rsidRPr="008E2903" w:rsidRDefault="00BE3EA2" w:rsidP="008E2903">
      <w:pPr>
        <w:pStyle w:val="ListParagraph"/>
        <w:numPr>
          <w:ilvl w:val="0"/>
          <w:numId w:val="5"/>
        </w:numPr>
        <w:rPr>
          <w:lang w:val="en-US"/>
        </w:rPr>
      </w:pPr>
      <w:r>
        <w:t xml:space="preserve">identifying and </w:t>
      </w:r>
      <w:r w:rsidR="008E2903">
        <w:t xml:space="preserve">utilising technology to drive efficiency and productivity </w:t>
      </w:r>
    </w:p>
    <w:p w14:paraId="56612231" w14:textId="77777777" w:rsidR="00746D2C" w:rsidRDefault="00746D2C" w:rsidP="00746D2C">
      <w:pPr>
        <w:pStyle w:val="ListParagraph"/>
        <w:numPr>
          <w:ilvl w:val="0"/>
          <w:numId w:val="5"/>
        </w:numPr>
        <w:rPr>
          <w:lang w:val="en-US"/>
        </w:rPr>
      </w:pPr>
      <w:r w:rsidRPr="00746D2C">
        <w:rPr>
          <w:lang w:val="en-US"/>
        </w:rPr>
        <w:t>engaging with key stakeholders across the system</w:t>
      </w:r>
      <w:r w:rsidR="00F51CCB">
        <w:rPr>
          <w:lang w:val="en-US"/>
        </w:rPr>
        <w:t xml:space="preserve">, </w:t>
      </w:r>
      <w:r w:rsidRPr="00746D2C">
        <w:rPr>
          <w:lang w:val="en-US"/>
        </w:rPr>
        <w:t xml:space="preserve">understanding their </w:t>
      </w:r>
      <w:r w:rsidR="00F51CCB">
        <w:rPr>
          <w:lang w:val="en-US"/>
        </w:rPr>
        <w:t xml:space="preserve">individual </w:t>
      </w:r>
      <w:r w:rsidRPr="00746D2C">
        <w:rPr>
          <w:lang w:val="en-US"/>
        </w:rPr>
        <w:t xml:space="preserve">needs </w:t>
      </w:r>
      <w:r w:rsidR="00F51CCB">
        <w:rPr>
          <w:lang w:val="en-US"/>
        </w:rPr>
        <w:t>and providing them with options to better mitigate their biosecurity risks</w:t>
      </w:r>
    </w:p>
    <w:p w14:paraId="67698724" w14:textId="77777777" w:rsidR="008C6554" w:rsidRPr="00746D2C" w:rsidRDefault="00BE3EA2" w:rsidP="008C6554">
      <w:pPr>
        <w:pStyle w:val="ListParagraph"/>
        <w:numPr>
          <w:ilvl w:val="0"/>
          <w:numId w:val="5"/>
        </w:numPr>
        <w:rPr>
          <w:lang w:val="en-US"/>
        </w:rPr>
      </w:pPr>
      <w:r>
        <w:rPr>
          <w:lang w:val="en-US"/>
        </w:rPr>
        <w:t xml:space="preserve">utilising our </w:t>
      </w:r>
      <w:r w:rsidR="008C6554">
        <w:rPr>
          <w:lang w:val="en-US"/>
        </w:rPr>
        <w:t xml:space="preserve">policy capabilities </w:t>
      </w:r>
      <w:r w:rsidR="00F51CCB">
        <w:rPr>
          <w:lang w:val="en-US"/>
        </w:rPr>
        <w:t xml:space="preserve">to enhance the national biosecurity system </w:t>
      </w:r>
    </w:p>
    <w:p w14:paraId="44BF9890" w14:textId="6B5676A1" w:rsidR="00E172C1" w:rsidRPr="00E172C1" w:rsidRDefault="00425A9F" w:rsidP="00E172C1">
      <w:pPr>
        <w:pStyle w:val="ListParagraph"/>
        <w:numPr>
          <w:ilvl w:val="0"/>
          <w:numId w:val="5"/>
        </w:numPr>
        <w:rPr>
          <w:lang w:val="en-US"/>
        </w:rPr>
      </w:pPr>
      <w:r>
        <w:rPr>
          <w:lang w:val="en-US"/>
        </w:rPr>
        <w:t>a</w:t>
      </w:r>
      <w:r w:rsidR="008D7334">
        <w:rPr>
          <w:lang w:val="en-US"/>
        </w:rPr>
        <w:t>ssessing consumer</w:t>
      </w:r>
      <w:r w:rsidR="008C6554">
        <w:rPr>
          <w:lang w:val="en-US"/>
        </w:rPr>
        <w:t xml:space="preserve"> </w:t>
      </w:r>
      <w:r>
        <w:rPr>
          <w:lang w:val="en-US"/>
        </w:rPr>
        <w:t xml:space="preserve">expectations </w:t>
      </w:r>
      <w:r w:rsidR="008D7334">
        <w:rPr>
          <w:lang w:val="en-US"/>
        </w:rPr>
        <w:t>and incorporating changes and measures into</w:t>
      </w:r>
      <w:r w:rsidR="00BE3EA2">
        <w:rPr>
          <w:lang w:val="en-US"/>
        </w:rPr>
        <w:t xml:space="preserve"> </w:t>
      </w:r>
      <w:r w:rsidR="00F51CCB">
        <w:rPr>
          <w:lang w:val="en-US"/>
        </w:rPr>
        <w:t>the</w:t>
      </w:r>
      <w:r w:rsidR="00BE3EA2">
        <w:rPr>
          <w:lang w:val="en-US"/>
        </w:rPr>
        <w:t xml:space="preserve"> national biosecurity </w:t>
      </w:r>
      <w:r w:rsidR="008D7334">
        <w:rPr>
          <w:lang w:val="en-US"/>
        </w:rPr>
        <w:t>system</w:t>
      </w:r>
      <w:r w:rsidR="00F2495C">
        <w:rPr>
          <w:lang w:val="en-US"/>
        </w:rPr>
        <w:t>.</w:t>
      </w:r>
    </w:p>
    <w:p w14:paraId="7EA67332" w14:textId="709F1480" w:rsidR="004C76ED" w:rsidRPr="00A47F05" w:rsidRDefault="005C73DD">
      <w:pPr>
        <w:rPr>
          <w:b/>
          <w:bCs/>
          <w:lang w:val="en-US"/>
        </w:rPr>
      </w:pPr>
      <w:r>
        <w:rPr>
          <w:b/>
          <w:bCs/>
          <w:lang w:val="en-US"/>
        </w:rPr>
        <w:t>S</w:t>
      </w:r>
      <w:r w:rsidR="004C76ED" w:rsidRPr="00A47F05">
        <w:rPr>
          <w:b/>
          <w:bCs/>
          <w:lang w:val="en-US"/>
        </w:rPr>
        <w:t>uccess looks like:</w:t>
      </w:r>
    </w:p>
    <w:p w14:paraId="529E49A3" w14:textId="50806DC7" w:rsidR="008D7334" w:rsidRDefault="00E209E0" w:rsidP="00F15FB7">
      <w:pPr>
        <w:pStyle w:val="ListParagraph"/>
        <w:numPr>
          <w:ilvl w:val="0"/>
          <w:numId w:val="1"/>
        </w:numPr>
        <w:rPr>
          <w:iCs/>
        </w:rPr>
      </w:pPr>
      <w:r>
        <w:rPr>
          <w:iCs/>
        </w:rPr>
        <w:t>AHA</w:t>
      </w:r>
      <w:r w:rsidR="00584161">
        <w:rPr>
          <w:iCs/>
        </w:rPr>
        <w:t xml:space="preserve"> </w:t>
      </w:r>
      <w:r w:rsidR="008D0137">
        <w:rPr>
          <w:iCs/>
        </w:rPr>
        <w:t xml:space="preserve">is </w:t>
      </w:r>
      <w:r w:rsidR="000B789A">
        <w:rPr>
          <w:iCs/>
        </w:rPr>
        <w:t xml:space="preserve">seen </w:t>
      </w:r>
      <w:r w:rsidR="008D7334">
        <w:rPr>
          <w:iCs/>
        </w:rPr>
        <w:t xml:space="preserve">as a valued partner across the </w:t>
      </w:r>
      <w:r w:rsidR="008D7334" w:rsidRPr="00B0032A">
        <w:rPr>
          <w:iCs/>
        </w:rPr>
        <w:t>supply chain</w:t>
      </w:r>
      <w:r w:rsidR="008D7334">
        <w:rPr>
          <w:iCs/>
        </w:rPr>
        <w:t xml:space="preserve"> </w:t>
      </w:r>
      <w:r w:rsidR="008D7334" w:rsidRPr="00B0032A">
        <w:rPr>
          <w:iCs/>
        </w:rPr>
        <w:t>in the management of animal health</w:t>
      </w:r>
      <w:r w:rsidR="00AA7AFD">
        <w:rPr>
          <w:iCs/>
        </w:rPr>
        <w:t xml:space="preserve"> and biosecurity</w:t>
      </w:r>
      <w:r w:rsidR="00C82A13">
        <w:rPr>
          <w:iCs/>
        </w:rPr>
        <w:t xml:space="preserve"> </w:t>
      </w:r>
      <w:r w:rsidR="008D7334" w:rsidRPr="00B0032A">
        <w:rPr>
          <w:iCs/>
        </w:rPr>
        <w:t xml:space="preserve">risks </w:t>
      </w:r>
      <w:r w:rsidR="00AA7AFD">
        <w:rPr>
          <w:iCs/>
        </w:rPr>
        <w:t xml:space="preserve">which are integral </w:t>
      </w:r>
      <w:r w:rsidR="00A967AF">
        <w:rPr>
          <w:iCs/>
        </w:rPr>
        <w:t xml:space="preserve">to </w:t>
      </w:r>
      <w:r w:rsidR="00AA7AFD">
        <w:rPr>
          <w:iCs/>
        </w:rPr>
        <w:t>support</w:t>
      </w:r>
      <w:r w:rsidR="008D0137">
        <w:rPr>
          <w:iCs/>
        </w:rPr>
        <w:t>ing</w:t>
      </w:r>
      <w:r w:rsidR="00A967AF">
        <w:rPr>
          <w:iCs/>
        </w:rPr>
        <w:t xml:space="preserve"> </w:t>
      </w:r>
      <w:r w:rsidR="00AA7AFD">
        <w:rPr>
          <w:iCs/>
        </w:rPr>
        <w:t>product integrity</w:t>
      </w:r>
    </w:p>
    <w:p w14:paraId="1D7BD173" w14:textId="77777777" w:rsidR="008D7334" w:rsidRPr="00AA7AFD" w:rsidRDefault="00F51CCB" w:rsidP="00AA7AFD">
      <w:pPr>
        <w:pStyle w:val="ListParagraph"/>
        <w:numPr>
          <w:ilvl w:val="0"/>
          <w:numId w:val="1"/>
        </w:numPr>
        <w:rPr>
          <w:lang w:val="en-US"/>
        </w:rPr>
      </w:pPr>
      <w:r>
        <w:rPr>
          <w:iCs/>
        </w:rPr>
        <w:t xml:space="preserve">responsive and tailored solutions, leading to better animal health and biosecurity outcomes on-farm and across the supply chain </w:t>
      </w:r>
    </w:p>
    <w:p w14:paraId="321EFD73" w14:textId="77777777" w:rsidR="008D7334" w:rsidRDefault="000B789A" w:rsidP="000B789A">
      <w:pPr>
        <w:pStyle w:val="ListParagraph"/>
        <w:numPr>
          <w:ilvl w:val="0"/>
          <w:numId w:val="1"/>
        </w:numPr>
      </w:pPr>
      <w:r>
        <w:t>active</w:t>
      </w:r>
      <w:r w:rsidR="008D7334">
        <w:t xml:space="preserve"> </w:t>
      </w:r>
      <w:r>
        <w:t xml:space="preserve">participation </w:t>
      </w:r>
      <w:r w:rsidR="008D7334">
        <w:t>assess</w:t>
      </w:r>
      <w:r>
        <w:t>ing</w:t>
      </w:r>
      <w:r w:rsidR="008D7334">
        <w:t xml:space="preserve"> and implement</w:t>
      </w:r>
      <w:r>
        <w:t>ing</w:t>
      </w:r>
      <w:r w:rsidR="008D7334">
        <w:t xml:space="preserve"> change across the supply chain</w:t>
      </w:r>
      <w:r>
        <w:t xml:space="preserve">, leading to </w:t>
      </w:r>
      <w:r w:rsidR="008D7334">
        <w:t>improve</w:t>
      </w:r>
      <w:r>
        <w:t>d</w:t>
      </w:r>
      <w:r w:rsidR="008D7334">
        <w:t xml:space="preserve"> product trust with consumers at home and abroad</w:t>
      </w:r>
      <w:r>
        <w:t>.</w:t>
      </w:r>
    </w:p>
    <w:p w14:paraId="2F18F73B" w14:textId="2E31A4B5" w:rsidR="00E172C1" w:rsidRDefault="00E27C2F" w:rsidP="006125C8">
      <w:pPr>
        <w:pStyle w:val="ListParagraph"/>
        <w:numPr>
          <w:ilvl w:val="0"/>
          <w:numId w:val="1"/>
        </w:numPr>
        <w:rPr>
          <w:rFonts w:cstheme="minorHAnsi"/>
          <w:lang w:val="en-US"/>
        </w:rPr>
      </w:pPr>
      <w:r w:rsidRPr="00A833C0">
        <w:rPr>
          <w:rFonts w:cstheme="minorHAnsi"/>
          <w:lang w:val="en-US"/>
        </w:rPr>
        <w:t>strengthen</w:t>
      </w:r>
      <w:r w:rsidR="002870F4">
        <w:rPr>
          <w:rFonts w:cstheme="minorHAnsi"/>
          <w:lang w:val="en-US"/>
        </w:rPr>
        <w:t>ed</w:t>
      </w:r>
      <w:r w:rsidRPr="00A833C0">
        <w:rPr>
          <w:rFonts w:cstheme="minorHAnsi"/>
          <w:lang w:val="en-US"/>
        </w:rPr>
        <w:t xml:space="preserve"> product integrity through partnerships</w:t>
      </w:r>
      <w:r w:rsidR="00F51CCB">
        <w:rPr>
          <w:rFonts w:cstheme="minorHAnsi"/>
          <w:lang w:val="en-US"/>
        </w:rPr>
        <w:t>.</w:t>
      </w:r>
    </w:p>
    <w:p w14:paraId="6BD160BB" w14:textId="77777777" w:rsidR="00C30CF5" w:rsidRPr="00C30CF5" w:rsidRDefault="00C21001" w:rsidP="00A351FA">
      <w:pPr>
        <w:rPr>
          <w:lang w:val="en-US"/>
        </w:rPr>
      </w:pPr>
      <w:r w:rsidRPr="00616A5E">
        <w:rPr>
          <w:b/>
          <w:color w:val="46515B"/>
          <w:sz w:val="28"/>
          <w:szCs w:val="28"/>
        </w:rPr>
        <w:lastRenderedPageBreak/>
        <w:t xml:space="preserve">STRATEGIC PRIORITY </w:t>
      </w:r>
      <w:r>
        <w:rPr>
          <w:b/>
          <w:color w:val="46515B"/>
          <w:sz w:val="28"/>
          <w:szCs w:val="28"/>
        </w:rPr>
        <w:t xml:space="preserve">3: </w:t>
      </w:r>
      <w:r w:rsidR="00EB2A77">
        <w:rPr>
          <w:b/>
          <w:color w:val="46515B"/>
          <w:sz w:val="28"/>
          <w:szCs w:val="28"/>
        </w:rPr>
        <w:t>C</w:t>
      </w:r>
      <w:r w:rsidR="000B5010">
        <w:rPr>
          <w:b/>
          <w:color w:val="46515B"/>
          <w:sz w:val="28"/>
          <w:szCs w:val="28"/>
        </w:rPr>
        <w:t>onnecting</w:t>
      </w:r>
      <w:r w:rsidR="00DC3EFC">
        <w:rPr>
          <w:b/>
          <w:color w:val="46515B"/>
          <w:sz w:val="28"/>
          <w:szCs w:val="28"/>
        </w:rPr>
        <w:t xml:space="preserve"> biosecurity</w:t>
      </w:r>
      <w:r w:rsidR="00A44EFA">
        <w:rPr>
          <w:b/>
          <w:color w:val="46515B"/>
          <w:sz w:val="28"/>
          <w:szCs w:val="28"/>
        </w:rPr>
        <w:t xml:space="preserve"> s</w:t>
      </w:r>
      <w:r w:rsidR="00020624">
        <w:rPr>
          <w:b/>
          <w:color w:val="46515B"/>
          <w:sz w:val="28"/>
          <w:szCs w:val="28"/>
        </w:rPr>
        <w:t>ystem</w:t>
      </w:r>
      <w:r w:rsidR="00E91A1C">
        <w:rPr>
          <w:b/>
          <w:color w:val="46515B"/>
          <w:sz w:val="28"/>
          <w:szCs w:val="28"/>
        </w:rPr>
        <w:t>s</w:t>
      </w:r>
      <w:r w:rsidR="00020624">
        <w:rPr>
          <w:b/>
          <w:color w:val="46515B"/>
          <w:sz w:val="28"/>
          <w:szCs w:val="28"/>
        </w:rPr>
        <w:t xml:space="preserve"> </w:t>
      </w:r>
    </w:p>
    <w:p w14:paraId="5A78DF04" w14:textId="77777777" w:rsidR="00C21001" w:rsidRDefault="00E86CEF" w:rsidP="003D3DDE">
      <w:pPr>
        <w:rPr>
          <w:i/>
          <w:iCs/>
          <w:lang w:val="en-US"/>
        </w:rPr>
      </w:pPr>
      <w:r>
        <w:rPr>
          <w:i/>
          <w:iCs/>
          <w:lang w:val="en-US"/>
        </w:rPr>
        <w:t xml:space="preserve">Delivering cross-sectoral outcomes that improve </w:t>
      </w:r>
      <w:r w:rsidR="00C21001" w:rsidRPr="00E86CEF">
        <w:rPr>
          <w:i/>
          <w:iCs/>
          <w:lang w:val="en-US"/>
        </w:rPr>
        <w:t xml:space="preserve">the status and integrity of </w:t>
      </w:r>
      <w:r w:rsidR="004F6CCA">
        <w:rPr>
          <w:i/>
          <w:iCs/>
          <w:lang w:val="en-US"/>
        </w:rPr>
        <w:t>regional, state and</w:t>
      </w:r>
      <w:r w:rsidR="00C21001" w:rsidRPr="00E86CEF">
        <w:rPr>
          <w:i/>
          <w:iCs/>
          <w:lang w:val="en-US"/>
        </w:rPr>
        <w:t xml:space="preserve"> national biosecurity system</w:t>
      </w:r>
      <w:r w:rsidR="003B0D30">
        <w:rPr>
          <w:i/>
          <w:iCs/>
          <w:lang w:val="en-US"/>
        </w:rPr>
        <w:t>s</w:t>
      </w:r>
      <w:r w:rsidRPr="00E86CEF">
        <w:rPr>
          <w:i/>
          <w:iCs/>
          <w:lang w:val="en-US"/>
        </w:rPr>
        <w:t>,</w:t>
      </w:r>
      <w:r w:rsidR="00C21001" w:rsidRPr="00E86CEF">
        <w:rPr>
          <w:i/>
          <w:iCs/>
          <w:lang w:val="en-US"/>
        </w:rPr>
        <w:t xml:space="preserve"> </w:t>
      </w:r>
      <w:r w:rsidRPr="00E86CEF">
        <w:rPr>
          <w:i/>
          <w:iCs/>
          <w:lang w:val="en-US"/>
        </w:rPr>
        <w:t xml:space="preserve">contributing to the protection of current market access pathways </w:t>
      </w:r>
      <w:r>
        <w:rPr>
          <w:i/>
          <w:iCs/>
          <w:lang w:val="en-US"/>
        </w:rPr>
        <w:t xml:space="preserve">and the </w:t>
      </w:r>
      <w:r w:rsidRPr="00E86CEF">
        <w:rPr>
          <w:i/>
          <w:iCs/>
          <w:lang w:val="en-US"/>
        </w:rPr>
        <w:t xml:space="preserve">identification of </w:t>
      </w:r>
      <w:r>
        <w:rPr>
          <w:i/>
          <w:iCs/>
          <w:lang w:val="en-US"/>
        </w:rPr>
        <w:t xml:space="preserve">new </w:t>
      </w:r>
      <w:r w:rsidRPr="00E86CEF">
        <w:rPr>
          <w:i/>
          <w:iCs/>
          <w:lang w:val="en-US"/>
        </w:rPr>
        <w:t xml:space="preserve">opportunities.  </w:t>
      </w:r>
    </w:p>
    <w:p w14:paraId="6A108AAC" w14:textId="02222419" w:rsidR="007B0BBA" w:rsidRDefault="00A95F2C" w:rsidP="004F6CCA">
      <w:pPr>
        <w:rPr>
          <w:lang w:val="en-US"/>
        </w:rPr>
      </w:pPr>
      <w:r>
        <w:t xml:space="preserve">In the face of rising challenges and complexities </w:t>
      </w:r>
      <w:r w:rsidR="007B0BBA">
        <w:t>we</w:t>
      </w:r>
      <w:r>
        <w:t xml:space="preserve"> </w:t>
      </w:r>
      <w:r w:rsidR="00A44EFA">
        <w:t>collaborate</w:t>
      </w:r>
      <w:r>
        <w:t xml:space="preserve"> with our members and </w:t>
      </w:r>
      <w:r w:rsidR="00C82A13">
        <w:t xml:space="preserve">partners </w:t>
      </w:r>
      <w:r w:rsidR="00C82A13" w:rsidRPr="000E09D3">
        <w:rPr>
          <w:lang w:val="en-US"/>
        </w:rPr>
        <w:t>to</w:t>
      </w:r>
      <w:r w:rsidR="004F6CCA" w:rsidRPr="000E09D3">
        <w:rPr>
          <w:lang w:val="en-US"/>
        </w:rPr>
        <w:t xml:space="preserve"> </w:t>
      </w:r>
      <w:r w:rsidR="004F6CCA">
        <w:rPr>
          <w:lang w:val="en-US"/>
        </w:rPr>
        <w:t xml:space="preserve">maintain the status and integrity of the </w:t>
      </w:r>
      <w:r w:rsidR="004F6CCA" w:rsidRPr="000E09D3">
        <w:rPr>
          <w:lang w:val="en-US"/>
        </w:rPr>
        <w:t>national</w:t>
      </w:r>
      <w:r w:rsidR="00C82A13">
        <w:rPr>
          <w:lang w:val="en-US"/>
        </w:rPr>
        <w:t xml:space="preserve">, state </w:t>
      </w:r>
      <w:r w:rsidR="00A44EFA">
        <w:rPr>
          <w:lang w:val="en-US"/>
        </w:rPr>
        <w:t xml:space="preserve">and regional </w:t>
      </w:r>
      <w:r w:rsidR="004F6CCA" w:rsidRPr="000E09D3">
        <w:rPr>
          <w:lang w:val="en-US"/>
        </w:rPr>
        <w:t xml:space="preserve">biosecurity and </w:t>
      </w:r>
      <w:r w:rsidR="007B0BBA">
        <w:rPr>
          <w:lang w:val="en-US"/>
        </w:rPr>
        <w:t>animal health</w:t>
      </w:r>
      <w:r w:rsidR="004F6CCA" w:rsidRPr="000E09D3">
        <w:rPr>
          <w:lang w:val="en-US"/>
        </w:rPr>
        <w:t xml:space="preserve"> system</w:t>
      </w:r>
      <w:r w:rsidR="008D0137">
        <w:rPr>
          <w:lang w:val="en-US"/>
        </w:rPr>
        <w:t>s</w:t>
      </w:r>
      <w:r>
        <w:rPr>
          <w:lang w:val="en-US"/>
        </w:rPr>
        <w:t xml:space="preserve">. </w:t>
      </w:r>
    </w:p>
    <w:p w14:paraId="17A4C9BE" w14:textId="18474B58" w:rsidR="004F6CCA" w:rsidRPr="007B0BBA" w:rsidRDefault="007B0BBA" w:rsidP="003D3DDE">
      <w:pPr>
        <w:rPr>
          <w:lang w:val="en-US"/>
        </w:rPr>
      </w:pPr>
      <w:r>
        <w:rPr>
          <w:lang w:val="en-US"/>
        </w:rPr>
        <w:t xml:space="preserve">The animal health </w:t>
      </w:r>
      <w:r w:rsidR="00A44EFA">
        <w:rPr>
          <w:lang w:val="en-US"/>
        </w:rPr>
        <w:t>and biosecurity s</w:t>
      </w:r>
      <w:r>
        <w:rPr>
          <w:lang w:val="en-US"/>
        </w:rPr>
        <w:t>ystem</w:t>
      </w:r>
      <w:r w:rsidR="00A44EFA">
        <w:rPr>
          <w:lang w:val="en-US"/>
        </w:rPr>
        <w:t>s</w:t>
      </w:r>
      <w:r>
        <w:rPr>
          <w:lang w:val="en-US"/>
        </w:rPr>
        <w:t xml:space="preserve"> </w:t>
      </w:r>
      <w:r w:rsidR="00A44EFA">
        <w:rPr>
          <w:lang w:val="en-US"/>
        </w:rPr>
        <w:t xml:space="preserve">are </w:t>
      </w:r>
      <w:r>
        <w:rPr>
          <w:lang w:val="en-US"/>
        </w:rPr>
        <w:t xml:space="preserve">interdependent on the success of all elements of the Australian agriculture sector – </w:t>
      </w:r>
      <w:r w:rsidR="008D0137">
        <w:rPr>
          <w:lang w:val="en-US"/>
        </w:rPr>
        <w:t xml:space="preserve">animal, </w:t>
      </w:r>
      <w:r>
        <w:rPr>
          <w:lang w:val="en-US"/>
        </w:rPr>
        <w:t xml:space="preserve">plant, environment, invasive, aquatic </w:t>
      </w:r>
      <w:r w:rsidR="00A44EFA">
        <w:rPr>
          <w:lang w:val="en-US"/>
        </w:rPr>
        <w:t xml:space="preserve">and human. </w:t>
      </w:r>
      <w:r w:rsidR="00A95F2C">
        <w:rPr>
          <w:lang w:val="en-US"/>
        </w:rPr>
        <w:t xml:space="preserve">As </w:t>
      </w:r>
      <w:r w:rsidR="004F6CCA" w:rsidRPr="00335601">
        <w:t xml:space="preserve">an independent and trusted </w:t>
      </w:r>
      <w:r w:rsidR="00645EC1">
        <w:t>partner,</w:t>
      </w:r>
      <w:r w:rsidR="00A95F2C">
        <w:t xml:space="preserve"> we </w:t>
      </w:r>
      <w:r w:rsidR="00E27C2F">
        <w:t>work with</w:t>
      </w:r>
      <w:r w:rsidR="004F6CCA">
        <w:t xml:space="preserve"> the biosecurity collective</w:t>
      </w:r>
      <w:r w:rsidR="004F6CCA" w:rsidRPr="00335601">
        <w:t xml:space="preserve"> </w:t>
      </w:r>
      <w:r w:rsidR="004F6CCA">
        <w:t>look</w:t>
      </w:r>
      <w:r w:rsidR="00E27C2F">
        <w:t>ing</w:t>
      </w:r>
      <w:r w:rsidR="004F6CCA">
        <w:t xml:space="preserve"> forward across the system and bring</w:t>
      </w:r>
      <w:r w:rsidR="00E27C2F">
        <w:t xml:space="preserve">ing </w:t>
      </w:r>
      <w:r w:rsidR="004F6CCA">
        <w:t>together the right parties to identify options and deliver cross</w:t>
      </w:r>
      <w:r w:rsidR="008D0137">
        <w:t>-</w:t>
      </w:r>
      <w:r w:rsidR="004F6CCA">
        <w:t>sectoral outcomes.</w:t>
      </w:r>
      <w:r w:rsidR="004F6CCA" w:rsidRPr="00161F75">
        <w:rPr>
          <w:lang w:val="en-US"/>
        </w:rPr>
        <w:t xml:space="preserve"> </w:t>
      </w:r>
      <w:r w:rsidR="004F6CCA">
        <w:rPr>
          <w:lang w:val="en-US"/>
        </w:rPr>
        <w:t xml:space="preserve">We are collaborative, focused and objective </w:t>
      </w:r>
      <w:r w:rsidR="00F82B48">
        <w:rPr>
          <w:lang w:val="en-US"/>
        </w:rPr>
        <w:t>in advocating for the best</w:t>
      </w:r>
      <w:r w:rsidR="006125C8">
        <w:rPr>
          <w:lang w:val="en-US"/>
        </w:rPr>
        <w:t xml:space="preserve"> </w:t>
      </w:r>
      <w:r w:rsidR="004F6CCA">
        <w:rPr>
          <w:lang w:val="en-US"/>
        </w:rPr>
        <w:t xml:space="preserve">course of action, and clear </w:t>
      </w:r>
      <w:r w:rsidR="00F82B48">
        <w:rPr>
          <w:lang w:val="en-US"/>
        </w:rPr>
        <w:t>about</w:t>
      </w:r>
      <w:r w:rsidR="004F6CCA">
        <w:rPr>
          <w:lang w:val="en-US"/>
        </w:rPr>
        <w:t xml:space="preserve"> our accountabilit</w:t>
      </w:r>
      <w:r w:rsidR="00F82B48">
        <w:rPr>
          <w:lang w:val="en-US"/>
        </w:rPr>
        <w:t>y</w:t>
      </w:r>
      <w:r w:rsidR="00E27C2F">
        <w:rPr>
          <w:lang w:val="en-US"/>
        </w:rPr>
        <w:t>.</w:t>
      </w:r>
      <w:r w:rsidR="004F6CCA">
        <w:rPr>
          <w:lang w:val="en-US"/>
        </w:rPr>
        <w:t xml:space="preserve"> </w:t>
      </w:r>
    </w:p>
    <w:p w14:paraId="27DC4F06" w14:textId="77777777" w:rsidR="000E1340" w:rsidRDefault="000E1340" w:rsidP="003D3DDE">
      <w:pPr>
        <w:rPr>
          <w:b/>
          <w:bCs/>
          <w:lang w:val="en-US"/>
        </w:rPr>
      </w:pPr>
      <w:r>
        <w:rPr>
          <w:b/>
          <w:bCs/>
          <w:lang w:val="en-US"/>
        </w:rPr>
        <w:t>Key focus areas:</w:t>
      </w:r>
    </w:p>
    <w:p w14:paraId="4FCE429C" w14:textId="77777777" w:rsidR="008218FF" w:rsidRDefault="008218FF" w:rsidP="00B640B6">
      <w:pPr>
        <w:pStyle w:val="ListParagraph"/>
        <w:numPr>
          <w:ilvl w:val="0"/>
          <w:numId w:val="13"/>
        </w:numPr>
        <w:rPr>
          <w:lang w:val="en-US"/>
        </w:rPr>
      </w:pPr>
      <w:r>
        <w:rPr>
          <w:lang w:val="en-US"/>
        </w:rPr>
        <w:t>Multisectoral engagement and system perspective</w:t>
      </w:r>
    </w:p>
    <w:p w14:paraId="49D05A38" w14:textId="5F11F49E" w:rsidR="000E1340" w:rsidRDefault="000E1340" w:rsidP="00B640B6">
      <w:pPr>
        <w:pStyle w:val="ListParagraph"/>
        <w:numPr>
          <w:ilvl w:val="0"/>
          <w:numId w:val="13"/>
        </w:numPr>
        <w:rPr>
          <w:lang w:val="en-US"/>
        </w:rPr>
      </w:pPr>
      <w:r w:rsidRPr="00B640B6">
        <w:rPr>
          <w:lang w:val="en-US"/>
        </w:rPr>
        <w:t>S</w:t>
      </w:r>
      <w:r w:rsidRPr="0032542B">
        <w:rPr>
          <w:lang w:val="en-US"/>
        </w:rPr>
        <w:t>urveillance</w:t>
      </w:r>
      <w:r w:rsidR="008218FF">
        <w:rPr>
          <w:lang w:val="en-US"/>
        </w:rPr>
        <w:t xml:space="preserve"> systems</w:t>
      </w:r>
    </w:p>
    <w:p w14:paraId="513D4918" w14:textId="54156A85" w:rsidR="008218FF" w:rsidRDefault="008218FF" w:rsidP="00B640B6">
      <w:pPr>
        <w:pStyle w:val="ListParagraph"/>
        <w:numPr>
          <w:ilvl w:val="0"/>
          <w:numId w:val="13"/>
        </w:numPr>
        <w:rPr>
          <w:lang w:val="en-US"/>
        </w:rPr>
      </w:pPr>
      <w:r>
        <w:rPr>
          <w:lang w:val="en-US"/>
        </w:rPr>
        <w:t>Traceability systems</w:t>
      </w:r>
    </w:p>
    <w:p w14:paraId="4F563B18" w14:textId="77777777" w:rsidR="0040283A" w:rsidRDefault="0040283A" w:rsidP="00B640B6">
      <w:pPr>
        <w:pStyle w:val="ListParagraph"/>
        <w:numPr>
          <w:ilvl w:val="0"/>
          <w:numId w:val="13"/>
        </w:numPr>
        <w:rPr>
          <w:lang w:val="en-US"/>
        </w:rPr>
      </w:pPr>
      <w:r>
        <w:rPr>
          <w:lang w:val="en-US"/>
        </w:rPr>
        <w:t>Biosecurity systems</w:t>
      </w:r>
    </w:p>
    <w:p w14:paraId="5921E34B" w14:textId="601DAEB4" w:rsidR="00C57E6F" w:rsidRDefault="00C57E6F" w:rsidP="00B640B6">
      <w:pPr>
        <w:pStyle w:val="ListParagraph"/>
        <w:numPr>
          <w:ilvl w:val="0"/>
          <w:numId w:val="13"/>
        </w:numPr>
        <w:rPr>
          <w:lang w:val="en-US"/>
        </w:rPr>
      </w:pPr>
      <w:r>
        <w:rPr>
          <w:lang w:val="en-US"/>
        </w:rPr>
        <w:t xml:space="preserve">Animal health </w:t>
      </w:r>
      <w:r w:rsidR="0040283A">
        <w:rPr>
          <w:lang w:val="en-US"/>
        </w:rPr>
        <w:t>systems</w:t>
      </w:r>
    </w:p>
    <w:p w14:paraId="0AF2C1A5" w14:textId="77777777" w:rsidR="000E1340" w:rsidRPr="008B3B81" w:rsidRDefault="00605374" w:rsidP="008B3B81">
      <w:pPr>
        <w:pStyle w:val="ListParagraph"/>
        <w:numPr>
          <w:ilvl w:val="0"/>
          <w:numId w:val="13"/>
        </w:numPr>
        <w:rPr>
          <w:lang w:val="en-US"/>
        </w:rPr>
      </w:pPr>
      <w:r w:rsidRPr="00A508DA">
        <w:rPr>
          <w:lang w:val="en-US"/>
        </w:rPr>
        <w:t>Data and r</w:t>
      </w:r>
      <w:r w:rsidR="000E1340" w:rsidRPr="00755A0C">
        <w:rPr>
          <w:lang w:val="en-US"/>
        </w:rPr>
        <w:t>isk analysis</w:t>
      </w:r>
    </w:p>
    <w:p w14:paraId="1DFB9A9B" w14:textId="77777777" w:rsidR="003D3DDE" w:rsidRPr="0010061A" w:rsidRDefault="003D3DDE" w:rsidP="003D3DDE">
      <w:pPr>
        <w:rPr>
          <w:b/>
          <w:bCs/>
          <w:lang w:val="en-US"/>
        </w:rPr>
      </w:pPr>
      <w:r w:rsidRPr="0010061A">
        <w:rPr>
          <w:b/>
          <w:bCs/>
          <w:lang w:val="en-US"/>
        </w:rPr>
        <w:t>We will do this by:</w:t>
      </w:r>
    </w:p>
    <w:p w14:paraId="5866E09B" w14:textId="0725D896" w:rsidR="005F243D" w:rsidRDefault="005F243D" w:rsidP="005F243D">
      <w:pPr>
        <w:pStyle w:val="ListParagraph"/>
        <w:numPr>
          <w:ilvl w:val="0"/>
          <w:numId w:val="7"/>
        </w:numPr>
        <w:rPr>
          <w:lang w:val="en-US"/>
        </w:rPr>
      </w:pPr>
      <w:r>
        <w:rPr>
          <w:lang w:val="en-US"/>
        </w:rPr>
        <w:t>using</w:t>
      </w:r>
      <w:r w:rsidRPr="00594689">
        <w:rPr>
          <w:lang w:val="en-US"/>
        </w:rPr>
        <w:t xml:space="preserve"> whole of system perspective</w:t>
      </w:r>
      <w:r>
        <w:rPr>
          <w:lang w:val="en-US"/>
        </w:rPr>
        <w:t>s</w:t>
      </w:r>
      <w:r w:rsidRPr="00594689">
        <w:rPr>
          <w:lang w:val="en-US"/>
        </w:rPr>
        <w:t xml:space="preserve"> to </w:t>
      </w:r>
      <w:r w:rsidR="00A44EFA">
        <w:rPr>
          <w:lang w:val="en-US"/>
        </w:rPr>
        <w:t>evaluate its performance</w:t>
      </w:r>
      <w:r w:rsidR="008927FF">
        <w:rPr>
          <w:lang w:val="en-US"/>
        </w:rPr>
        <w:t xml:space="preserve"> and </w:t>
      </w:r>
      <w:r w:rsidR="008927FF">
        <w:t>prioritis</w:t>
      </w:r>
      <w:r w:rsidR="00F82B48">
        <w:t>e</w:t>
      </w:r>
      <w:r w:rsidRPr="00594689">
        <w:rPr>
          <w:lang w:val="en-US"/>
        </w:rPr>
        <w:t xml:space="preserve"> effort</w:t>
      </w:r>
      <w:r w:rsidR="00A44EFA">
        <w:rPr>
          <w:lang w:val="en-US"/>
        </w:rPr>
        <w:t xml:space="preserve"> </w:t>
      </w:r>
      <w:r w:rsidRPr="00594689">
        <w:rPr>
          <w:lang w:val="en-US"/>
        </w:rPr>
        <w:t>and investment</w:t>
      </w:r>
    </w:p>
    <w:p w14:paraId="7DC39244" w14:textId="77777777" w:rsidR="008927FF" w:rsidRPr="0010061A" w:rsidRDefault="00982184" w:rsidP="008927FF">
      <w:pPr>
        <w:pStyle w:val="ListParagraph"/>
        <w:numPr>
          <w:ilvl w:val="0"/>
          <w:numId w:val="7"/>
        </w:numPr>
        <w:rPr>
          <w:lang w:val="en-US"/>
        </w:rPr>
      </w:pPr>
      <w:r>
        <w:t>i</w:t>
      </w:r>
      <w:r w:rsidR="008927FF" w:rsidRPr="009054B3">
        <w:t>dentif</w:t>
      </w:r>
      <w:r w:rsidR="008927FF">
        <w:t>ying</w:t>
      </w:r>
      <w:r w:rsidR="008927FF" w:rsidRPr="009054B3">
        <w:t xml:space="preserve"> vulnerabilities in the biosecurity system, advocat</w:t>
      </w:r>
      <w:r w:rsidR="008927FF">
        <w:t>ing</w:t>
      </w:r>
      <w:r w:rsidR="008927FF" w:rsidRPr="009054B3">
        <w:t xml:space="preserve"> for their remediation and bring</w:t>
      </w:r>
      <w:r w:rsidR="008927FF">
        <w:t>ing</w:t>
      </w:r>
      <w:r w:rsidR="008927FF" w:rsidRPr="009054B3">
        <w:t xml:space="preserve"> industry and government together with options to address them</w:t>
      </w:r>
    </w:p>
    <w:p w14:paraId="52CF337D" w14:textId="7FBFA3D8" w:rsidR="004E1D7D" w:rsidRDefault="004E1D7D" w:rsidP="005F243D">
      <w:pPr>
        <w:pStyle w:val="ListParagraph"/>
        <w:numPr>
          <w:ilvl w:val="0"/>
          <w:numId w:val="7"/>
        </w:numPr>
        <w:rPr>
          <w:lang w:val="en-US"/>
        </w:rPr>
      </w:pPr>
      <w:r>
        <w:rPr>
          <w:lang w:val="en-US"/>
        </w:rPr>
        <w:t>thought leadership</w:t>
      </w:r>
      <w:r w:rsidR="000B3F02">
        <w:rPr>
          <w:lang w:val="en-US"/>
        </w:rPr>
        <w:t xml:space="preserve"> and </w:t>
      </w:r>
      <w:r>
        <w:rPr>
          <w:lang w:val="en-US"/>
        </w:rPr>
        <w:t xml:space="preserve">advocacy </w:t>
      </w:r>
      <w:r w:rsidR="00020624">
        <w:rPr>
          <w:lang w:val="en-US"/>
        </w:rPr>
        <w:t>providing valu</w:t>
      </w:r>
      <w:r w:rsidR="00F82B48">
        <w:rPr>
          <w:lang w:val="en-US"/>
        </w:rPr>
        <w:t>able</w:t>
      </w:r>
      <w:r w:rsidR="006125C8">
        <w:rPr>
          <w:lang w:val="en-US"/>
        </w:rPr>
        <w:t xml:space="preserve"> </w:t>
      </w:r>
      <w:r>
        <w:rPr>
          <w:lang w:val="en-US"/>
        </w:rPr>
        <w:t xml:space="preserve">policy </w:t>
      </w:r>
      <w:r w:rsidR="00F82B48">
        <w:rPr>
          <w:lang w:val="en-US"/>
        </w:rPr>
        <w:t xml:space="preserve">options </w:t>
      </w:r>
      <w:r w:rsidR="000B3F02">
        <w:rPr>
          <w:lang w:val="en-US"/>
        </w:rPr>
        <w:t xml:space="preserve">and direction </w:t>
      </w:r>
    </w:p>
    <w:p w14:paraId="71F714C1" w14:textId="399455F6" w:rsidR="00621379" w:rsidRPr="00E27C2F" w:rsidRDefault="005F243D" w:rsidP="00E27C2F">
      <w:pPr>
        <w:pStyle w:val="ListParagraph"/>
        <w:numPr>
          <w:ilvl w:val="0"/>
          <w:numId w:val="7"/>
        </w:numPr>
        <w:rPr>
          <w:lang w:val="en-US"/>
        </w:rPr>
      </w:pPr>
      <w:r w:rsidRPr="00E27C2F">
        <w:rPr>
          <w:lang w:val="en-US"/>
        </w:rPr>
        <w:t>working collaboratively across the biosecurity collective to deepen understanding</w:t>
      </w:r>
      <w:r w:rsidR="000B3F02">
        <w:rPr>
          <w:lang w:val="en-US"/>
        </w:rPr>
        <w:t xml:space="preserve"> and </w:t>
      </w:r>
      <w:r w:rsidRPr="00E27C2F">
        <w:rPr>
          <w:lang w:val="en-US"/>
        </w:rPr>
        <w:t xml:space="preserve">identify </w:t>
      </w:r>
      <w:r w:rsidR="00B0032A" w:rsidRPr="00E27C2F">
        <w:rPr>
          <w:lang w:val="en-US"/>
        </w:rPr>
        <w:t xml:space="preserve">areas </w:t>
      </w:r>
      <w:r w:rsidR="00E27C2F">
        <w:t xml:space="preserve">to increase system resilience </w:t>
      </w:r>
    </w:p>
    <w:p w14:paraId="2EE421DB" w14:textId="77777777" w:rsidR="00594689" w:rsidRPr="00594689" w:rsidRDefault="005F243D" w:rsidP="00594689">
      <w:pPr>
        <w:pStyle w:val="ListParagraph"/>
        <w:numPr>
          <w:ilvl w:val="0"/>
          <w:numId w:val="7"/>
        </w:numPr>
        <w:rPr>
          <w:lang w:val="en-US"/>
        </w:rPr>
      </w:pPr>
      <w:r>
        <w:rPr>
          <w:lang w:val="en-US"/>
        </w:rPr>
        <w:t>d</w:t>
      </w:r>
      <w:r w:rsidR="00594689" w:rsidRPr="00594689">
        <w:rPr>
          <w:lang w:val="en-US"/>
        </w:rPr>
        <w:t>eepen</w:t>
      </w:r>
      <w:r>
        <w:rPr>
          <w:lang w:val="en-US"/>
        </w:rPr>
        <w:t>ing</w:t>
      </w:r>
      <w:r w:rsidR="00594689" w:rsidRPr="00594689">
        <w:rPr>
          <w:lang w:val="en-US"/>
        </w:rPr>
        <w:t xml:space="preserve"> analytical and interpretation capabilities and systems</w:t>
      </w:r>
      <w:r w:rsidR="00E27C2F">
        <w:rPr>
          <w:lang w:val="en-US"/>
        </w:rPr>
        <w:t xml:space="preserve"> </w:t>
      </w:r>
    </w:p>
    <w:p w14:paraId="00F39E36" w14:textId="77777777" w:rsidR="0010061A" w:rsidRDefault="005F243D" w:rsidP="00B0032A">
      <w:pPr>
        <w:pStyle w:val="ListParagraph"/>
        <w:numPr>
          <w:ilvl w:val="0"/>
          <w:numId w:val="7"/>
        </w:numPr>
        <w:rPr>
          <w:lang w:val="en-US"/>
        </w:rPr>
      </w:pPr>
      <w:r>
        <w:rPr>
          <w:lang w:val="en-US"/>
        </w:rPr>
        <w:t>a</w:t>
      </w:r>
      <w:r w:rsidR="00E9106C">
        <w:rPr>
          <w:lang w:val="en-US"/>
        </w:rPr>
        <w:t xml:space="preserve">ssessing </w:t>
      </w:r>
      <w:r w:rsidR="0010061A">
        <w:rPr>
          <w:lang w:val="en-US"/>
        </w:rPr>
        <w:t>consumer</w:t>
      </w:r>
      <w:r w:rsidR="00174897">
        <w:rPr>
          <w:lang w:val="en-US"/>
        </w:rPr>
        <w:t xml:space="preserve"> and community</w:t>
      </w:r>
      <w:r w:rsidR="0010061A">
        <w:rPr>
          <w:lang w:val="en-US"/>
        </w:rPr>
        <w:t xml:space="preserve"> trust </w:t>
      </w:r>
      <w:r w:rsidR="00E9106C">
        <w:rPr>
          <w:lang w:val="en-US"/>
        </w:rPr>
        <w:t xml:space="preserve">drivers </w:t>
      </w:r>
      <w:r w:rsidR="0010061A">
        <w:rPr>
          <w:lang w:val="en-US"/>
        </w:rPr>
        <w:t xml:space="preserve">and </w:t>
      </w:r>
      <w:r w:rsidR="00E9106C">
        <w:rPr>
          <w:lang w:val="en-US"/>
        </w:rPr>
        <w:t xml:space="preserve">incorporating changes and </w:t>
      </w:r>
      <w:r w:rsidR="0010061A">
        <w:rPr>
          <w:lang w:val="en-US"/>
        </w:rPr>
        <w:t>measures into our system</w:t>
      </w:r>
      <w:r w:rsidR="008E2903">
        <w:rPr>
          <w:lang w:val="en-US"/>
        </w:rPr>
        <w:t>.</w:t>
      </w:r>
    </w:p>
    <w:p w14:paraId="1D093451" w14:textId="77777777" w:rsidR="00A31385" w:rsidRPr="00C30CF5" w:rsidRDefault="00B0032A" w:rsidP="00065423">
      <w:pPr>
        <w:rPr>
          <w:b/>
          <w:bCs/>
          <w:lang w:val="en-US"/>
        </w:rPr>
      </w:pPr>
      <w:r>
        <w:rPr>
          <w:b/>
          <w:bCs/>
          <w:lang w:val="en-US"/>
        </w:rPr>
        <w:t>Success looks like:</w:t>
      </w:r>
    </w:p>
    <w:p w14:paraId="0528D1D6" w14:textId="77777777" w:rsidR="008D7334" w:rsidRPr="000B3F02" w:rsidRDefault="008E2903" w:rsidP="008D7334">
      <w:pPr>
        <w:pStyle w:val="ListParagraph"/>
        <w:numPr>
          <w:ilvl w:val="0"/>
          <w:numId w:val="3"/>
        </w:numPr>
      </w:pPr>
      <w:r w:rsidRPr="000B3F02">
        <w:t>p</w:t>
      </w:r>
      <w:r w:rsidR="008D7334" w:rsidRPr="000B3F02">
        <w:t xml:space="preserve">roducers value our biosecurity system to maintain Australia’s </w:t>
      </w:r>
      <w:r w:rsidR="000B3F02" w:rsidRPr="000B3F02">
        <w:t xml:space="preserve">strong </w:t>
      </w:r>
      <w:r w:rsidR="008D7334" w:rsidRPr="000B3F02">
        <w:t xml:space="preserve">market </w:t>
      </w:r>
      <w:r w:rsidR="000B3F02" w:rsidRPr="000B3F02">
        <w:t>access</w:t>
      </w:r>
    </w:p>
    <w:p w14:paraId="0A06A585" w14:textId="62ABB706" w:rsidR="008D7334" w:rsidRPr="000B3F02" w:rsidRDefault="008D7334" w:rsidP="008D7334">
      <w:pPr>
        <w:pStyle w:val="ListParagraph"/>
        <w:numPr>
          <w:ilvl w:val="0"/>
          <w:numId w:val="3"/>
        </w:numPr>
      </w:pPr>
      <w:r w:rsidRPr="000B3F02">
        <w:t xml:space="preserve">AHA </w:t>
      </w:r>
      <w:r w:rsidR="000B3F02" w:rsidRPr="000B3F02">
        <w:t xml:space="preserve">contributing </w:t>
      </w:r>
      <w:r w:rsidRPr="000B3F02">
        <w:t>to Australia’s international recognition as a premium, disease</w:t>
      </w:r>
      <w:r w:rsidR="00456692">
        <w:t>-</w:t>
      </w:r>
      <w:r w:rsidRPr="000B3F02">
        <w:t xml:space="preserve">free </w:t>
      </w:r>
      <w:r w:rsidR="008927FF">
        <w:t xml:space="preserve">food and fibre </w:t>
      </w:r>
      <w:r w:rsidRPr="000B3F02">
        <w:t xml:space="preserve">producer with high levels of access to domestic and international markets </w:t>
      </w:r>
    </w:p>
    <w:p w14:paraId="32D2B660" w14:textId="7B8D8A3F" w:rsidR="00660537" w:rsidRPr="00E172C1" w:rsidRDefault="003C2F98" w:rsidP="00065423">
      <w:pPr>
        <w:pStyle w:val="ListParagraph"/>
        <w:numPr>
          <w:ilvl w:val="0"/>
          <w:numId w:val="3"/>
        </w:numPr>
        <w:rPr>
          <w:lang w:val="en-US"/>
        </w:rPr>
      </w:pPr>
      <w:r w:rsidRPr="000B3F02">
        <w:rPr>
          <w:lang w:val="en-US"/>
        </w:rPr>
        <w:t>AHA a</w:t>
      </w:r>
      <w:r w:rsidR="008E2903" w:rsidRPr="000B3F02">
        <w:rPr>
          <w:lang w:val="en-US"/>
        </w:rPr>
        <w:t>s a</w:t>
      </w:r>
      <w:r w:rsidRPr="000B3F02">
        <w:rPr>
          <w:lang w:val="en-US"/>
        </w:rPr>
        <w:t xml:space="preserve"> trusted partner for industry and governments in dealing with novel, complex or multinational issues</w:t>
      </w:r>
      <w:r w:rsidR="008E2903" w:rsidRPr="000B3F02">
        <w:rPr>
          <w:lang w:val="en-US"/>
        </w:rPr>
        <w:t>.</w:t>
      </w:r>
    </w:p>
    <w:sectPr w:rsidR="00660537" w:rsidRPr="00E172C1" w:rsidSect="00E172C1">
      <w:headerReference w:type="default" r:id="rId11"/>
      <w:footerReference w:type="default" r:id="rId12"/>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A8DE5" w14:textId="77777777" w:rsidR="005220C3" w:rsidRDefault="005220C3" w:rsidP="005220C3">
      <w:pPr>
        <w:spacing w:after="0" w:line="240" w:lineRule="auto"/>
      </w:pPr>
      <w:r>
        <w:separator/>
      </w:r>
    </w:p>
  </w:endnote>
  <w:endnote w:type="continuationSeparator" w:id="0">
    <w:p w14:paraId="1C26857E" w14:textId="77777777" w:rsidR="005220C3" w:rsidRDefault="005220C3" w:rsidP="0052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38946"/>
      <w:docPartObj>
        <w:docPartGallery w:val="Page Numbers (Bottom of Page)"/>
        <w:docPartUnique/>
      </w:docPartObj>
    </w:sdtPr>
    <w:sdtEndPr/>
    <w:sdtContent>
      <w:sdt>
        <w:sdtPr>
          <w:id w:val="1728636285"/>
          <w:docPartObj>
            <w:docPartGallery w:val="Page Numbers (Top of Page)"/>
            <w:docPartUnique/>
          </w:docPartObj>
        </w:sdtPr>
        <w:sdtEndPr/>
        <w:sdtContent>
          <w:p w14:paraId="3698C1CC" w14:textId="0C1B086C" w:rsidR="005220C3" w:rsidRDefault="005220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DBC4EF" w14:textId="77777777" w:rsidR="005220C3" w:rsidRDefault="0052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17357" w14:textId="77777777" w:rsidR="005220C3" w:rsidRDefault="005220C3" w:rsidP="005220C3">
      <w:pPr>
        <w:spacing w:after="0" w:line="240" w:lineRule="auto"/>
      </w:pPr>
      <w:r>
        <w:separator/>
      </w:r>
    </w:p>
  </w:footnote>
  <w:footnote w:type="continuationSeparator" w:id="0">
    <w:p w14:paraId="45F51466" w14:textId="77777777" w:rsidR="005220C3" w:rsidRDefault="005220C3" w:rsidP="00522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CB0D" w14:textId="2F651360" w:rsidR="003F01F4" w:rsidRDefault="00E172C1">
    <w:pPr>
      <w:pStyle w:val="Header"/>
    </w:pPr>
    <w:r>
      <w:rPr>
        <w:noProof/>
        <w:lang w:eastAsia="en-AU"/>
      </w:rPr>
      <w:drawing>
        <wp:anchor distT="0" distB="0" distL="114300" distR="114300" simplePos="0" relativeHeight="251657216" behindDoc="0" locked="0" layoutInCell="1" allowOverlap="0" wp14:anchorId="7B738F3E" wp14:editId="5775C946">
          <wp:simplePos x="0" y="0"/>
          <wp:positionH relativeFrom="column">
            <wp:posOffset>-904875</wp:posOffset>
          </wp:positionH>
          <wp:positionV relativeFrom="paragraph">
            <wp:posOffset>-553085</wp:posOffset>
          </wp:positionV>
          <wp:extent cx="7658735" cy="1742440"/>
          <wp:effectExtent l="0" t="0" r="0" b="0"/>
          <wp:wrapThrough wrapText="bothSides">
            <wp:wrapPolygon edited="0">
              <wp:start x="0" y="0"/>
              <wp:lineTo x="0" y="21254"/>
              <wp:lineTo x="21544" y="21254"/>
              <wp:lineTo x="2154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HA-Letterheads_header_FA.png"/>
                  <pic:cNvPicPr/>
                </pic:nvPicPr>
                <pic:blipFill>
                  <a:blip r:embed="rId1">
                    <a:extLst>
                      <a:ext uri="{28A0092B-C50C-407E-A947-70E740481C1C}">
                        <a14:useLocalDpi xmlns:a14="http://schemas.microsoft.com/office/drawing/2010/main" val="0"/>
                      </a:ext>
                    </a:extLst>
                  </a:blip>
                  <a:stretch>
                    <a:fillRect/>
                  </a:stretch>
                </pic:blipFill>
                <pic:spPr>
                  <a:xfrm>
                    <a:off x="0" y="0"/>
                    <a:ext cx="7658735" cy="1742440"/>
                  </a:xfrm>
                  <a:prstGeom prst="rect">
                    <a:avLst/>
                  </a:prstGeom>
                </pic:spPr>
              </pic:pic>
            </a:graphicData>
          </a:graphic>
          <wp14:sizeRelH relativeFrom="margin">
            <wp14:pctWidth>0</wp14:pctWidth>
          </wp14:sizeRelH>
          <wp14:sizeRelV relativeFrom="margin">
            <wp14:pctHeight>0</wp14:pctHeight>
          </wp14:sizeRelV>
        </wp:anchor>
      </w:drawing>
    </w:r>
    <w:sdt>
      <w:sdtPr>
        <w:id w:val="-960027928"/>
        <w:docPartObj>
          <w:docPartGallery w:val="Watermarks"/>
          <w:docPartUnique/>
        </w:docPartObj>
      </w:sdtPr>
      <w:sdtEndPr/>
      <w:sdtContent>
        <w:r w:rsidR="009822B2">
          <w:rPr>
            <w:noProof/>
          </w:rPr>
          <w:pict w14:anchorId="5350C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B6B"/>
    <w:multiLevelType w:val="hybridMultilevel"/>
    <w:tmpl w:val="181E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623BA"/>
    <w:multiLevelType w:val="hybridMultilevel"/>
    <w:tmpl w:val="A9DE1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44375"/>
    <w:multiLevelType w:val="hybridMultilevel"/>
    <w:tmpl w:val="50927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36FC1"/>
    <w:multiLevelType w:val="hybridMultilevel"/>
    <w:tmpl w:val="26E43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7206F"/>
    <w:multiLevelType w:val="hybridMultilevel"/>
    <w:tmpl w:val="CE0C55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F0C23"/>
    <w:multiLevelType w:val="hybridMultilevel"/>
    <w:tmpl w:val="CE0C55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8043CE"/>
    <w:multiLevelType w:val="hybridMultilevel"/>
    <w:tmpl w:val="F5E88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B10B1A"/>
    <w:multiLevelType w:val="hybridMultilevel"/>
    <w:tmpl w:val="3ACE7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202271"/>
    <w:multiLevelType w:val="hybridMultilevel"/>
    <w:tmpl w:val="EDA8D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B16A3D"/>
    <w:multiLevelType w:val="hybridMultilevel"/>
    <w:tmpl w:val="9DC4F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4073A0"/>
    <w:multiLevelType w:val="hybridMultilevel"/>
    <w:tmpl w:val="1F02D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FA6E42"/>
    <w:multiLevelType w:val="hybridMultilevel"/>
    <w:tmpl w:val="2FCE4A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A63448"/>
    <w:multiLevelType w:val="hybridMultilevel"/>
    <w:tmpl w:val="B804F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C51BE2"/>
    <w:multiLevelType w:val="hybridMultilevel"/>
    <w:tmpl w:val="974A5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3"/>
  </w:num>
  <w:num w:numId="4">
    <w:abstractNumId w:val="1"/>
  </w:num>
  <w:num w:numId="5">
    <w:abstractNumId w:val="9"/>
  </w:num>
  <w:num w:numId="6">
    <w:abstractNumId w:val="4"/>
  </w:num>
  <w:num w:numId="7">
    <w:abstractNumId w:val="5"/>
  </w:num>
  <w:num w:numId="8">
    <w:abstractNumId w:val="11"/>
  </w:num>
  <w:num w:numId="9">
    <w:abstractNumId w:val="0"/>
  </w:num>
  <w:num w:numId="10">
    <w:abstractNumId w:val="8"/>
  </w:num>
  <w:num w:numId="11">
    <w:abstractNumId w:val="12"/>
  </w:num>
  <w:num w:numId="12">
    <w:abstractNumId w:val="6"/>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35"/>
    <w:rsid w:val="000019FA"/>
    <w:rsid w:val="00014947"/>
    <w:rsid w:val="00020624"/>
    <w:rsid w:val="00024893"/>
    <w:rsid w:val="00031E4F"/>
    <w:rsid w:val="00043226"/>
    <w:rsid w:val="00056CC0"/>
    <w:rsid w:val="000623DA"/>
    <w:rsid w:val="00065423"/>
    <w:rsid w:val="000677BE"/>
    <w:rsid w:val="0007759F"/>
    <w:rsid w:val="000B3F02"/>
    <w:rsid w:val="000B5010"/>
    <w:rsid w:val="000B789A"/>
    <w:rsid w:val="000E09D3"/>
    <w:rsid w:val="000E1340"/>
    <w:rsid w:val="000E159C"/>
    <w:rsid w:val="000F069C"/>
    <w:rsid w:val="000F7EBE"/>
    <w:rsid w:val="0010061A"/>
    <w:rsid w:val="0010317C"/>
    <w:rsid w:val="0014540F"/>
    <w:rsid w:val="00161F75"/>
    <w:rsid w:val="00164A95"/>
    <w:rsid w:val="00174897"/>
    <w:rsid w:val="0019460F"/>
    <w:rsid w:val="001A4825"/>
    <w:rsid w:val="001C2A02"/>
    <w:rsid w:val="001E0B2E"/>
    <w:rsid w:val="001E2693"/>
    <w:rsid w:val="001F138A"/>
    <w:rsid w:val="002061FE"/>
    <w:rsid w:val="00243ABC"/>
    <w:rsid w:val="00254CF6"/>
    <w:rsid w:val="002570DB"/>
    <w:rsid w:val="00266029"/>
    <w:rsid w:val="002860AB"/>
    <w:rsid w:val="002870F4"/>
    <w:rsid w:val="00287BDA"/>
    <w:rsid w:val="002A0D0C"/>
    <w:rsid w:val="002C426D"/>
    <w:rsid w:val="002C57F8"/>
    <w:rsid w:val="002D0713"/>
    <w:rsid w:val="0032542B"/>
    <w:rsid w:val="00330459"/>
    <w:rsid w:val="00336056"/>
    <w:rsid w:val="00355798"/>
    <w:rsid w:val="00386777"/>
    <w:rsid w:val="003A036D"/>
    <w:rsid w:val="003A34A8"/>
    <w:rsid w:val="003B0D30"/>
    <w:rsid w:val="003B3259"/>
    <w:rsid w:val="003B4B01"/>
    <w:rsid w:val="003C0BF3"/>
    <w:rsid w:val="003C2F98"/>
    <w:rsid w:val="003C5365"/>
    <w:rsid w:val="003D3DDE"/>
    <w:rsid w:val="003F01F4"/>
    <w:rsid w:val="003F208B"/>
    <w:rsid w:val="003F369D"/>
    <w:rsid w:val="003F695C"/>
    <w:rsid w:val="0040283A"/>
    <w:rsid w:val="00425A9F"/>
    <w:rsid w:val="00456692"/>
    <w:rsid w:val="004A387F"/>
    <w:rsid w:val="004C76ED"/>
    <w:rsid w:val="004D7C97"/>
    <w:rsid w:val="004E1D7D"/>
    <w:rsid w:val="004F6CCA"/>
    <w:rsid w:val="005124A3"/>
    <w:rsid w:val="005220C3"/>
    <w:rsid w:val="00527BF3"/>
    <w:rsid w:val="00571BAC"/>
    <w:rsid w:val="00584161"/>
    <w:rsid w:val="00593F20"/>
    <w:rsid w:val="00594689"/>
    <w:rsid w:val="00596C35"/>
    <w:rsid w:val="00597BEC"/>
    <w:rsid w:val="005A651A"/>
    <w:rsid w:val="005C73DD"/>
    <w:rsid w:val="005F243D"/>
    <w:rsid w:val="005F3D56"/>
    <w:rsid w:val="005F69A8"/>
    <w:rsid w:val="005F7AEC"/>
    <w:rsid w:val="00605374"/>
    <w:rsid w:val="006078FD"/>
    <w:rsid w:val="006125C8"/>
    <w:rsid w:val="00616A5E"/>
    <w:rsid w:val="00621379"/>
    <w:rsid w:val="00632DDE"/>
    <w:rsid w:val="00637A7E"/>
    <w:rsid w:val="00645EC1"/>
    <w:rsid w:val="00660537"/>
    <w:rsid w:val="00662079"/>
    <w:rsid w:val="0066350F"/>
    <w:rsid w:val="00685078"/>
    <w:rsid w:val="00687F55"/>
    <w:rsid w:val="00690A60"/>
    <w:rsid w:val="00692F2B"/>
    <w:rsid w:val="006B07A0"/>
    <w:rsid w:val="006D6DEE"/>
    <w:rsid w:val="006E034D"/>
    <w:rsid w:val="006E0BF5"/>
    <w:rsid w:val="00714F3F"/>
    <w:rsid w:val="00741715"/>
    <w:rsid w:val="0074665D"/>
    <w:rsid w:val="00746D2C"/>
    <w:rsid w:val="00750C05"/>
    <w:rsid w:val="00755A0C"/>
    <w:rsid w:val="00760923"/>
    <w:rsid w:val="00791F3A"/>
    <w:rsid w:val="007957E6"/>
    <w:rsid w:val="007B0BBA"/>
    <w:rsid w:val="007B1880"/>
    <w:rsid w:val="007C698E"/>
    <w:rsid w:val="00802F8A"/>
    <w:rsid w:val="00817362"/>
    <w:rsid w:val="008218FF"/>
    <w:rsid w:val="008223EF"/>
    <w:rsid w:val="00824507"/>
    <w:rsid w:val="00824D5F"/>
    <w:rsid w:val="008412D5"/>
    <w:rsid w:val="00845952"/>
    <w:rsid w:val="00854CF1"/>
    <w:rsid w:val="00863601"/>
    <w:rsid w:val="008640F5"/>
    <w:rsid w:val="008863C3"/>
    <w:rsid w:val="008927FF"/>
    <w:rsid w:val="008A11C7"/>
    <w:rsid w:val="008B3B81"/>
    <w:rsid w:val="008C6554"/>
    <w:rsid w:val="008D0137"/>
    <w:rsid w:val="008D28FE"/>
    <w:rsid w:val="008D30BD"/>
    <w:rsid w:val="008D7334"/>
    <w:rsid w:val="008E2903"/>
    <w:rsid w:val="00901ADC"/>
    <w:rsid w:val="009054B3"/>
    <w:rsid w:val="00931FE3"/>
    <w:rsid w:val="009346CB"/>
    <w:rsid w:val="00976577"/>
    <w:rsid w:val="00982184"/>
    <w:rsid w:val="009822B2"/>
    <w:rsid w:val="009A1D78"/>
    <w:rsid w:val="009C0A26"/>
    <w:rsid w:val="009D653D"/>
    <w:rsid w:val="00A0242D"/>
    <w:rsid w:val="00A2490D"/>
    <w:rsid w:val="00A31385"/>
    <w:rsid w:val="00A351FA"/>
    <w:rsid w:val="00A41D0C"/>
    <w:rsid w:val="00A44EFA"/>
    <w:rsid w:val="00A47F05"/>
    <w:rsid w:val="00A508DA"/>
    <w:rsid w:val="00A95F2C"/>
    <w:rsid w:val="00A967AF"/>
    <w:rsid w:val="00AA37E7"/>
    <w:rsid w:val="00AA7AFD"/>
    <w:rsid w:val="00AA7FB9"/>
    <w:rsid w:val="00AC54EE"/>
    <w:rsid w:val="00AC70E8"/>
    <w:rsid w:val="00AE2AAF"/>
    <w:rsid w:val="00AF3DD8"/>
    <w:rsid w:val="00AF4EC4"/>
    <w:rsid w:val="00B0032A"/>
    <w:rsid w:val="00B308C9"/>
    <w:rsid w:val="00B640B6"/>
    <w:rsid w:val="00B6423D"/>
    <w:rsid w:val="00B729E4"/>
    <w:rsid w:val="00B74E58"/>
    <w:rsid w:val="00B94193"/>
    <w:rsid w:val="00BB02AF"/>
    <w:rsid w:val="00BB4764"/>
    <w:rsid w:val="00BC59BE"/>
    <w:rsid w:val="00BE3EA2"/>
    <w:rsid w:val="00BE444A"/>
    <w:rsid w:val="00BF50BE"/>
    <w:rsid w:val="00C15F5A"/>
    <w:rsid w:val="00C21001"/>
    <w:rsid w:val="00C30CF5"/>
    <w:rsid w:val="00C43058"/>
    <w:rsid w:val="00C56AE3"/>
    <w:rsid w:val="00C56D2C"/>
    <w:rsid w:val="00C57E6F"/>
    <w:rsid w:val="00C6294A"/>
    <w:rsid w:val="00C67B17"/>
    <w:rsid w:val="00C82A13"/>
    <w:rsid w:val="00CA5E91"/>
    <w:rsid w:val="00CB3126"/>
    <w:rsid w:val="00CC0EE1"/>
    <w:rsid w:val="00CD5359"/>
    <w:rsid w:val="00CD59EC"/>
    <w:rsid w:val="00D07935"/>
    <w:rsid w:val="00D33DA7"/>
    <w:rsid w:val="00D519B8"/>
    <w:rsid w:val="00D86B89"/>
    <w:rsid w:val="00D925D0"/>
    <w:rsid w:val="00DA6CC5"/>
    <w:rsid w:val="00DB1F9C"/>
    <w:rsid w:val="00DC3EFC"/>
    <w:rsid w:val="00E16E30"/>
    <w:rsid w:val="00E172C1"/>
    <w:rsid w:val="00E209E0"/>
    <w:rsid w:val="00E27C2F"/>
    <w:rsid w:val="00E50286"/>
    <w:rsid w:val="00E62622"/>
    <w:rsid w:val="00E86918"/>
    <w:rsid w:val="00E86CEF"/>
    <w:rsid w:val="00E9106C"/>
    <w:rsid w:val="00E91A1C"/>
    <w:rsid w:val="00EA5145"/>
    <w:rsid w:val="00EB0DEF"/>
    <w:rsid w:val="00EB2A77"/>
    <w:rsid w:val="00EB5EA2"/>
    <w:rsid w:val="00ED1126"/>
    <w:rsid w:val="00EE07CA"/>
    <w:rsid w:val="00EE56F7"/>
    <w:rsid w:val="00F15FB7"/>
    <w:rsid w:val="00F2495C"/>
    <w:rsid w:val="00F34738"/>
    <w:rsid w:val="00F35244"/>
    <w:rsid w:val="00F37ED3"/>
    <w:rsid w:val="00F51CCB"/>
    <w:rsid w:val="00F5462C"/>
    <w:rsid w:val="00F620A4"/>
    <w:rsid w:val="00F761E1"/>
    <w:rsid w:val="00F82B48"/>
    <w:rsid w:val="00F82CEF"/>
    <w:rsid w:val="00F95007"/>
    <w:rsid w:val="00FA1B46"/>
    <w:rsid w:val="00FD1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62D175"/>
  <w15:chartTrackingRefBased/>
  <w15:docId w15:val="{F25D31F0-3A39-4B50-9548-153E784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935"/>
    <w:rPr>
      <w:rFonts w:ascii="Segoe UI" w:hAnsi="Segoe UI" w:cs="Segoe UI"/>
      <w:sz w:val="18"/>
      <w:szCs w:val="18"/>
    </w:rPr>
  </w:style>
  <w:style w:type="character" w:styleId="CommentReference">
    <w:name w:val="annotation reference"/>
    <w:basedOn w:val="DefaultParagraphFont"/>
    <w:uiPriority w:val="99"/>
    <w:semiHidden/>
    <w:unhideWhenUsed/>
    <w:rsid w:val="00D07935"/>
    <w:rPr>
      <w:sz w:val="16"/>
      <w:szCs w:val="16"/>
    </w:rPr>
  </w:style>
  <w:style w:type="paragraph" w:styleId="CommentText">
    <w:name w:val="annotation text"/>
    <w:basedOn w:val="Normal"/>
    <w:link w:val="CommentTextChar"/>
    <w:uiPriority w:val="99"/>
    <w:semiHidden/>
    <w:unhideWhenUsed/>
    <w:rsid w:val="00D07935"/>
    <w:pPr>
      <w:spacing w:line="240" w:lineRule="auto"/>
    </w:pPr>
    <w:rPr>
      <w:sz w:val="20"/>
      <w:szCs w:val="20"/>
    </w:rPr>
  </w:style>
  <w:style w:type="character" w:customStyle="1" w:styleId="CommentTextChar">
    <w:name w:val="Comment Text Char"/>
    <w:basedOn w:val="DefaultParagraphFont"/>
    <w:link w:val="CommentText"/>
    <w:uiPriority w:val="99"/>
    <w:semiHidden/>
    <w:rsid w:val="00D07935"/>
    <w:rPr>
      <w:sz w:val="20"/>
      <w:szCs w:val="20"/>
    </w:rPr>
  </w:style>
  <w:style w:type="paragraph" w:styleId="ListParagraph">
    <w:name w:val="List Paragraph"/>
    <w:basedOn w:val="Normal"/>
    <w:uiPriority w:val="34"/>
    <w:qFormat/>
    <w:rsid w:val="00D07935"/>
    <w:pPr>
      <w:ind w:left="720"/>
      <w:contextualSpacing/>
    </w:pPr>
  </w:style>
  <w:style w:type="paragraph" w:styleId="CommentSubject">
    <w:name w:val="annotation subject"/>
    <w:basedOn w:val="CommentText"/>
    <w:next w:val="CommentText"/>
    <w:link w:val="CommentSubjectChar"/>
    <w:uiPriority w:val="99"/>
    <w:semiHidden/>
    <w:unhideWhenUsed/>
    <w:rsid w:val="00C6294A"/>
    <w:rPr>
      <w:b/>
      <w:bCs/>
    </w:rPr>
  </w:style>
  <w:style w:type="character" w:customStyle="1" w:styleId="CommentSubjectChar">
    <w:name w:val="Comment Subject Char"/>
    <w:basedOn w:val="CommentTextChar"/>
    <w:link w:val="CommentSubject"/>
    <w:uiPriority w:val="99"/>
    <w:semiHidden/>
    <w:rsid w:val="00C6294A"/>
    <w:rPr>
      <w:b/>
      <w:bCs/>
      <w:sz w:val="20"/>
      <w:szCs w:val="20"/>
    </w:rPr>
  </w:style>
  <w:style w:type="paragraph" w:styleId="Header">
    <w:name w:val="header"/>
    <w:basedOn w:val="Normal"/>
    <w:link w:val="HeaderChar"/>
    <w:uiPriority w:val="99"/>
    <w:unhideWhenUsed/>
    <w:rsid w:val="00522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0C3"/>
  </w:style>
  <w:style w:type="paragraph" w:styleId="Footer">
    <w:name w:val="footer"/>
    <w:basedOn w:val="Normal"/>
    <w:link w:val="FooterChar"/>
    <w:uiPriority w:val="99"/>
    <w:unhideWhenUsed/>
    <w:rsid w:val="00522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6C8CB8618D3241B13F7CBFC4F80DB3" ma:contentTypeVersion="0" ma:contentTypeDescription="Create a new document." ma:contentTypeScope="" ma:versionID="4e3232c0f52df80235b0b99afaf35f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7598-D403-40E4-B12B-FEE271D94636}">
  <ds:schemaRefs>
    <ds:schemaRef ds:uri="http://schemas.microsoft.com/sharepoint/v3/contenttype/forms"/>
  </ds:schemaRefs>
</ds:datastoreItem>
</file>

<file path=customXml/itemProps2.xml><?xml version="1.0" encoding="utf-8"?>
<ds:datastoreItem xmlns:ds="http://schemas.openxmlformats.org/officeDocument/2006/customXml" ds:itemID="{6022A61E-1847-4BC5-9610-497939490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7710E7-AB3B-48B2-95A9-80C434955DAD}">
  <ds:schemaRef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F4E189C-5275-45D4-A9CF-1A1DA1A2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Pate</dc:creator>
  <cp:keywords/>
  <dc:description/>
  <cp:lastModifiedBy>Jackie Poyser</cp:lastModifiedBy>
  <cp:revision>13</cp:revision>
  <cp:lastPrinted>2020-02-05T05:10:00Z</cp:lastPrinted>
  <dcterms:created xsi:type="dcterms:W3CDTF">2020-02-13T23:59:00Z</dcterms:created>
  <dcterms:modified xsi:type="dcterms:W3CDTF">2020-02-21T05:06:00Z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0x0101003C6C8CB8618D3241B13F7CBFC4F80DB3</vt:lpwstr>
  </property>
</Properties>
</file>